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68C731D">
      <w:pPr>
        <w:spacing w:line="600" w:lineRule="exact"/>
        <w:ind w:firstLine="0" w:firstLineChars="0"/>
        <w:jc w:val="center"/>
        <w:rPr>
          <w:rFonts w:hint="eastAsia" w:ascii="方正小标宋简体" w:hAnsi="宋体" w:eastAsia="方正小标宋简体"/>
          <w:color w:val="000000"/>
          <w:sz w:val="44"/>
          <w:szCs w:val="32"/>
        </w:rPr>
      </w:pPr>
      <w:r>
        <w:rPr>
          <w:rFonts w:hint="eastAsia" w:ascii="方正小标宋简体" w:hAnsi="宋体" w:eastAsia="方正小标宋简体"/>
          <w:color w:val="000000"/>
          <w:sz w:val="44"/>
          <w:szCs w:val="32"/>
        </w:rPr>
        <w:t>团体标准《</w:t>
      </w:r>
      <w:r>
        <w:rPr>
          <w:rFonts w:hint="eastAsia" w:ascii="方正小标宋简体" w:hAnsi="宋体" w:eastAsia="方正小标宋简体"/>
          <w:color w:val="000000"/>
          <w:sz w:val="44"/>
          <w:szCs w:val="32"/>
          <w:lang w:eastAsia="zh-CN"/>
        </w:rPr>
        <w:t>农业科普研学课程设计评价规范</w:t>
      </w:r>
      <w:r>
        <w:rPr>
          <w:rFonts w:hint="eastAsia" w:ascii="方正小标宋简体" w:hAnsi="宋体" w:eastAsia="方正小标宋简体"/>
          <w:color w:val="000000"/>
          <w:sz w:val="44"/>
          <w:szCs w:val="32"/>
        </w:rPr>
        <w:t>》</w:t>
      </w:r>
      <w:r>
        <w:rPr>
          <w:rFonts w:hint="eastAsia" w:ascii="方正小标宋简体" w:hAnsi="宋体" w:eastAsia="方正小标宋简体"/>
          <w:color w:val="000000"/>
          <w:sz w:val="44"/>
          <w:szCs w:val="32"/>
          <w:lang w:eastAsia="zh-CN"/>
        </w:rPr>
        <w:t>（</w:t>
      </w:r>
      <w:r>
        <w:rPr>
          <w:rFonts w:hint="eastAsia" w:ascii="方正小标宋简体" w:hAnsi="宋体" w:eastAsia="方正小标宋简体"/>
          <w:color w:val="000000"/>
          <w:sz w:val="44"/>
          <w:szCs w:val="32"/>
          <w:lang w:val="en-US" w:eastAsia="zh-CN"/>
        </w:rPr>
        <w:t>征求意见稿</w:t>
      </w:r>
      <w:r>
        <w:rPr>
          <w:rFonts w:hint="eastAsia" w:ascii="方正小标宋简体" w:hAnsi="宋体" w:eastAsia="方正小标宋简体"/>
          <w:color w:val="000000"/>
          <w:sz w:val="44"/>
          <w:szCs w:val="32"/>
          <w:lang w:eastAsia="zh-CN"/>
        </w:rPr>
        <w:t>）</w:t>
      </w:r>
      <w:r>
        <w:rPr>
          <w:rFonts w:hint="eastAsia" w:ascii="方正小标宋简体" w:hAnsi="宋体" w:eastAsia="方正小标宋简体"/>
          <w:color w:val="000000"/>
          <w:sz w:val="44"/>
          <w:szCs w:val="32"/>
        </w:rPr>
        <w:t>编制说明</w:t>
      </w:r>
    </w:p>
    <w:p w14:paraId="7528DA5A">
      <w:pPr>
        <w:autoSpaceDE w:val="0"/>
        <w:autoSpaceDN w:val="0"/>
        <w:adjustRightInd w:val="0"/>
        <w:spacing w:before="156" w:beforeLines="50" w:after="156" w:afterLines="50" w:line="560" w:lineRule="exact"/>
        <w:ind w:firstLine="640"/>
        <w:jc w:val="left"/>
        <w:outlineLvl w:val="0"/>
        <w:rPr>
          <w:rFonts w:hint="eastAsia" w:ascii="黑体" w:hAnsi="黑体" w:eastAsia="黑体" w:cs="仿宋_GB2312"/>
          <w:szCs w:val="32"/>
        </w:rPr>
      </w:pPr>
      <w:r>
        <w:rPr>
          <w:rFonts w:hint="eastAsia" w:ascii="黑体" w:hAnsi="黑体" w:eastAsia="黑体" w:cs="仿宋_GB2312"/>
          <w:szCs w:val="32"/>
        </w:rPr>
        <w:t>一、任务来源、起草单位、主要起草人</w:t>
      </w:r>
    </w:p>
    <w:p w14:paraId="3B4D9F17">
      <w:pPr>
        <w:spacing w:line="560" w:lineRule="exact"/>
        <w:ind w:firstLine="640"/>
        <w:rPr>
          <w:rFonts w:hint="eastAsia" w:ascii="仿宋_GB2312" w:hAnsi="宋体"/>
          <w:szCs w:val="28"/>
        </w:rPr>
      </w:pPr>
      <w:r>
        <w:rPr>
          <w:rFonts w:hint="eastAsia" w:ascii="仿宋_GB2312" w:hAnsi="宋体"/>
          <w:szCs w:val="28"/>
        </w:rPr>
        <w:t>根据《广西标准化协会关于下达2025年第一批团体标准制修订项目计划的通知》（桂标协〔2025〕7号）文件精神，由广西壮族自治区农业科学院提出，广西壮族自治区亚热带作物研究所、广西标准化协会、农业农村部科技发展中心、云南省热带作物科学研究所等</w:t>
      </w:r>
      <w:r>
        <w:rPr>
          <w:rFonts w:ascii="仿宋_GB2312" w:hAnsi="宋体"/>
          <w:szCs w:val="28"/>
        </w:rPr>
        <w:t>单位</w:t>
      </w:r>
      <w:r>
        <w:rPr>
          <w:rFonts w:hint="eastAsia" w:ascii="仿宋_GB2312" w:hAnsi="宋体"/>
          <w:szCs w:val="28"/>
        </w:rPr>
        <w:t>共同起草的团体标准《</w:t>
      </w:r>
      <w:r>
        <w:rPr>
          <w:rFonts w:hint="eastAsia" w:ascii="仿宋_GB2312" w:hAnsi="宋体"/>
          <w:szCs w:val="28"/>
          <w:lang w:eastAsia="zh-CN"/>
        </w:rPr>
        <w:t>农业科普研学课程设计评价规范</w:t>
      </w:r>
      <w:r>
        <w:rPr>
          <w:rFonts w:hint="eastAsia" w:ascii="仿宋_GB2312" w:hAnsi="宋体"/>
          <w:szCs w:val="28"/>
        </w:rPr>
        <w:t>》（项目编号：</w:t>
      </w:r>
      <w:r>
        <w:rPr>
          <w:rFonts w:hint="eastAsia" w:ascii="仿宋_GB2312" w:hAnsi="宋体"/>
          <w:color w:val="0000FF"/>
          <w:szCs w:val="28"/>
        </w:rPr>
        <w:t>2025-</w:t>
      </w:r>
      <w:r>
        <w:rPr>
          <w:rFonts w:hint="eastAsia" w:ascii="仿宋_GB2312" w:hAnsi="宋体"/>
          <w:color w:val="0000FF"/>
          <w:szCs w:val="28"/>
          <w:lang w:val="en-US" w:eastAsia="zh-CN"/>
        </w:rPr>
        <w:t>0119</w:t>
      </w:r>
      <w:r>
        <w:rPr>
          <w:rFonts w:hint="eastAsia" w:ascii="仿宋_GB2312" w:hAnsi="宋体"/>
          <w:szCs w:val="28"/>
        </w:rPr>
        <w:t>）已获批立项。</w:t>
      </w:r>
    </w:p>
    <w:p w14:paraId="2BDCFA84">
      <w:pPr>
        <w:spacing w:line="560" w:lineRule="exact"/>
        <w:ind w:firstLine="640"/>
        <w:rPr>
          <w:rFonts w:hint="eastAsia" w:ascii="仿宋_GB2312" w:hAnsi="宋体"/>
          <w:szCs w:val="28"/>
        </w:rPr>
      </w:pPr>
      <w:r>
        <w:rPr>
          <w:rFonts w:hint="eastAsia" w:ascii="仿宋_GB2312" w:hAnsi="宋体"/>
          <w:szCs w:val="28"/>
        </w:rPr>
        <w:t>为高质量编制团体标准《</w:t>
      </w:r>
      <w:r>
        <w:rPr>
          <w:rFonts w:hint="eastAsia" w:ascii="仿宋_GB2312" w:hAnsi="宋体"/>
          <w:szCs w:val="28"/>
          <w:lang w:eastAsia="zh-CN"/>
        </w:rPr>
        <w:t>农业科普研学课程设计评价规范</w:t>
      </w:r>
      <w:r>
        <w:rPr>
          <w:rFonts w:hint="eastAsia" w:ascii="仿宋_GB2312" w:hAnsi="宋体"/>
          <w:szCs w:val="28"/>
        </w:rPr>
        <w:t>》，由起草单位成立标准编制组并进行如下分工：</w:t>
      </w:r>
    </w:p>
    <w:tbl>
      <w:tblPr>
        <w:tblStyle w:val="9"/>
        <w:tblW w:w="5000" w:type="pct"/>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1078"/>
        <w:gridCol w:w="1288"/>
        <w:gridCol w:w="1249"/>
        <w:gridCol w:w="1813"/>
        <w:gridCol w:w="3192"/>
      </w:tblGrid>
      <w:tr w14:paraId="1B5CF98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5" w:type="pct"/>
            <w:tcBorders>
              <w:top w:val="single" w:color="auto" w:sz="4" w:space="0"/>
              <w:left w:val="single" w:color="auto" w:sz="4" w:space="0"/>
              <w:bottom w:val="single" w:color="auto" w:sz="4" w:space="0"/>
            </w:tcBorders>
            <w:vAlign w:val="center"/>
          </w:tcPr>
          <w:p w14:paraId="57836687">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宋体" w:hAnsi="宋体" w:eastAsia="宋体"/>
                <w:b/>
                <w:sz w:val="21"/>
                <w:szCs w:val="21"/>
              </w:rPr>
            </w:pPr>
            <w:r>
              <w:rPr>
                <w:rFonts w:hint="eastAsia" w:ascii="宋体" w:hAnsi="宋体" w:eastAsia="宋体"/>
                <w:b/>
                <w:sz w:val="21"/>
                <w:szCs w:val="21"/>
              </w:rPr>
              <w:t>姓名</w:t>
            </w:r>
          </w:p>
        </w:tc>
        <w:tc>
          <w:tcPr>
            <w:tcW w:w="747" w:type="pct"/>
            <w:tcBorders>
              <w:top w:val="single" w:color="auto" w:sz="4" w:space="0"/>
              <w:bottom w:val="single" w:color="auto" w:sz="4" w:space="0"/>
            </w:tcBorders>
            <w:vAlign w:val="center"/>
          </w:tcPr>
          <w:p w14:paraId="67013B4E">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宋体" w:hAnsi="宋体" w:eastAsia="宋体"/>
                <w:b/>
                <w:sz w:val="21"/>
                <w:szCs w:val="21"/>
              </w:rPr>
            </w:pPr>
            <w:r>
              <w:rPr>
                <w:rFonts w:hint="eastAsia" w:ascii="宋体" w:hAnsi="宋体" w:eastAsia="宋体"/>
                <w:b/>
                <w:sz w:val="21"/>
                <w:szCs w:val="21"/>
              </w:rPr>
              <w:t>职务/职称</w:t>
            </w:r>
          </w:p>
        </w:tc>
        <w:tc>
          <w:tcPr>
            <w:tcW w:w="724" w:type="pct"/>
            <w:tcBorders>
              <w:top w:val="single" w:color="auto" w:sz="4" w:space="0"/>
              <w:bottom w:val="single" w:color="auto" w:sz="4" w:space="0"/>
            </w:tcBorders>
            <w:vAlign w:val="center"/>
          </w:tcPr>
          <w:p w14:paraId="354D1F9D">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宋体" w:hAnsi="宋体" w:eastAsia="宋体"/>
                <w:b/>
                <w:sz w:val="21"/>
                <w:szCs w:val="21"/>
              </w:rPr>
            </w:pPr>
            <w:r>
              <w:rPr>
                <w:rFonts w:hint="eastAsia" w:ascii="宋体" w:hAnsi="宋体" w:eastAsia="宋体"/>
                <w:b/>
                <w:sz w:val="21"/>
                <w:szCs w:val="21"/>
              </w:rPr>
              <w:t>从事专业</w:t>
            </w:r>
          </w:p>
        </w:tc>
        <w:tc>
          <w:tcPr>
            <w:tcW w:w="1051" w:type="pct"/>
            <w:tcBorders>
              <w:top w:val="single" w:color="auto" w:sz="4" w:space="0"/>
              <w:bottom w:val="single" w:color="auto" w:sz="4" w:space="0"/>
            </w:tcBorders>
            <w:vAlign w:val="center"/>
          </w:tcPr>
          <w:p w14:paraId="6AC2A2AC">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宋体" w:hAnsi="宋体" w:eastAsia="宋体"/>
                <w:b/>
                <w:sz w:val="21"/>
                <w:szCs w:val="21"/>
              </w:rPr>
            </w:pPr>
            <w:r>
              <w:rPr>
                <w:rFonts w:hint="eastAsia" w:ascii="宋体" w:hAnsi="宋体" w:eastAsia="宋体"/>
                <w:b/>
                <w:sz w:val="21"/>
                <w:szCs w:val="21"/>
              </w:rPr>
              <w:t>工作单位</w:t>
            </w:r>
          </w:p>
        </w:tc>
        <w:tc>
          <w:tcPr>
            <w:tcW w:w="1851" w:type="pct"/>
            <w:tcBorders>
              <w:top w:val="single" w:color="auto" w:sz="4" w:space="0"/>
              <w:bottom w:val="single" w:color="auto" w:sz="4" w:space="0"/>
              <w:right w:val="single" w:color="auto" w:sz="4" w:space="0"/>
            </w:tcBorders>
            <w:vAlign w:val="center"/>
          </w:tcPr>
          <w:p w14:paraId="47E79C1E">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宋体" w:hAnsi="宋体" w:eastAsia="宋体"/>
                <w:b/>
                <w:sz w:val="21"/>
                <w:szCs w:val="21"/>
              </w:rPr>
            </w:pPr>
            <w:r>
              <w:rPr>
                <w:rFonts w:hint="eastAsia" w:ascii="宋体" w:hAnsi="宋体" w:eastAsia="宋体"/>
                <w:b/>
                <w:sz w:val="21"/>
                <w:szCs w:val="21"/>
              </w:rPr>
              <w:t>责任分工</w:t>
            </w:r>
          </w:p>
        </w:tc>
      </w:tr>
      <w:tr w14:paraId="5FCA778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5" w:type="pct"/>
            <w:tcBorders>
              <w:top w:val="single" w:color="auto" w:sz="4" w:space="0"/>
              <w:left w:val="single" w:color="auto" w:sz="4" w:space="0"/>
              <w:bottom w:val="single" w:color="auto" w:sz="4" w:space="0"/>
            </w:tcBorders>
            <w:vAlign w:val="center"/>
          </w:tcPr>
          <w:p w14:paraId="58DC6BBB">
            <w:pPr>
              <w:keepNext w:val="0"/>
              <w:keepLines w:val="0"/>
              <w:widowControl/>
              <w:suppressLineNumbers w:val="0"/>
              <w:ind w:left="0" w:leftChars="0" w:firstLine="0" w:firstLineChars="0"/>
              <w:jc w:val="center"/>
              <w:textAlignment w:val="center"/>
              <w:rPr>
                <w:rFonts w:hint="eastAsia" w:ascii="宋体" w:hAnsi="宋体" w:eastAsia="宋体" w:cs="宋体"/>
                <w:sz w:val="21"/>
                <w:szCs w:val="21"/>
                <w:lang w:val="en-US" w:eastAsia="zh-CN"/>
              </w:rPr>
            </w:pPr>
            <w:r>
              <w:rPr>
                <w:rFonts w:hint="eastAsia" w:ascii="宋体" w:hAnsi="宋体" w:eastAsia="宋体" w:cs="仿宋_GB2312"/>
                <w:sz w:val="21"/>
                <w:szCs w:val="21"/>
                <w:lang w:val="en-US" w:eastAsia="zh-CN"/>
              </w:rPr>
              <w:t>刘思朝</w:t>
            </w:r>
          </w:p>
        </w:tc>
        <w:tc>
          <w:tcPr>
            <w:tcW w:w="747" w:type="pct"/>
            <w:tcBorders>
              <w:top w:val="single" w:color="auto" w:sz="4" w:space="0"/>
              <w:bottom w:val="single" w:color="auto" w:sz="4" w:space="0"/>
            </w:tcBorders>
            <w:vAlign w:val="center"/>
          </w:tcPr>
          <w:p w14:paraId="1B1DC2AC">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宋体" w:hAnsi="宋体" w:eastAsia="宋体" w:cs="仿宋_GB2312"/>
                <w:sz w:val="21"/>
                <w:szCs w:val="21"/>
                <w:lang w:val="en-US" w:eastAsia="zh-CN"/>
              </w:rPr>
            </w:pPr>
            <w:r>
              <w:rPr>
                <w:rFonts w:hint="eastAsia" w:ascii="宋体" w:hAnsi="宋体" w:eastAsia="宋体" w:cs="仿宋_GB2312"/>
                <w:sz w:val="21"/>
                <w:szCs w:val="21"/>
                <w:lang w:val="en-US" w:eastAsia="zh-CN"/>
              </w:rPr>
              <w:t>副主任/助理研究员</w:t>
            </w:r>
          </w:p>
        </w:tc>
        <w:tc>
          <w:tcPr>
            <w:tcW w:w="1329" w:type="dxa"/>
            <w:tcBorders>
              <w:top w:val="single" w:color="auto" w:sz="4" w:space="0"/>
              <w:bottom w:val="single" w:color="auto" w:sz="4" w:space="0"/>
            </w:tcBorders>
            <w:vAlign w:val="center"/>
          </w:tcPr>
          <w:p w14:paraId="5FC1FCE0">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宋体" w:hAnsi="宋体" w:eastAsia="宋体" w:cs="仿宋_GB2312"/>
                <w:sz w:val="21"/>
                <w:szCs w:val="21"/>
                <w:lang w:val="en-US" w:eastAsia="zh-CN"/>
              </w:rPr>
            </w:pPr>
            <w:r>
              <w:rPr>
                <w:rFonts w:hint="eastAsia" w:ascii="宋体" w:hAnsi="宋体" w:eastAsia="宋体" w:cs="仿宋_GB2312"/>
                <w:sz w:val="21"/>
                <w:szCs w:val="21"/>
                <w:lang w:val="en-US" w:eastAsia="zh-CN"/>
              </w:rPr>
              <w:t>科普理论研究</w:t>
            </w:r>
          </w:p>
        </w:tc>
        <w:tc>
          <w:tcPr>
            <w:tcW w:w="1929" w:type="dxa"/>
            <w:tcBorders>
              <w:top w:val="single" w:color="auto" w:sz="4" w:space="0"/>
              <w:bottom w:val="single" w:color="auto" w:sz="4" w:space="0"/>
            </w:tcBorders>
            <w:vAlign w:val="center"/>
          </w:tcPr>
          <w:p w14:paraId="300F06A7">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宋体" w:hAnsi="宋体" w:eastAsia="宋体" w:cs="仿宋_GB2312"/>
                <w:sz w:val="21"/>
                <w:szCs w:val="21"/>
                <w:lang w:val="en-US" w:eastAsia="zh-CN"/>
              </w:rPr>
            </w:pPr>
            <w:r>
              <w:rPr>
                <w:rFonts w:hint="eastAsia" w:ascii="宋体" w:hAnsi="宋体" w:eastAsia="宋体" w:cs="仿宋_GB2312"/>
                <w:sz w:val="21"/>
                <w:szCs w:val="21"/>
                <w:lang w:val="en-US" w:eastAsia="zh-CN"/>
              </w:rPr>
              <w:t>广西壮族自治区亚热带作物研究所</w:t>
            </w:r>
          </w:p>
        </w:tc>
        <w:tc>
          <w:tcPr>
            <w:tcW w:w="1851" w:type="pct"/>
            <w:tcBorders>
              <w:top w:val="single" w:color="auto" w:sz="4" w:space="0"/>
              <w:bottom w:val="single" w:color="auto" w:sz="4" w:space="0"/>
              <w:right w:val="single" w:color="auto" w:sz="4" w:space="0"/>
            </w:tcBorders>
            <w:vAlign w:val="center"/>
          </w:tcPr>
          <w:p w14:paraId="4B7EF003">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宋体" w:hAnsi="宋体" w:eastAsia="宋体" w:cs="仿宋_GB2312"/>
                <w:sz w:val="21"/>
                <w:szCs w:val="21"/>
                <w:lang w:val="en-US" w:eastAsia="zh-CN"/>
              </w:rPr>
            </w:pPr>
            <w:r>
              <w:rPr>
                <w:rFonts w:hint="eastAsia" w:ascii="宋体" w:hAnsi="宋体" w:eastAsia="宋体" w:cs="仿宋_GB2312"/>
                <w:sz w:val="21"/>
                <w:szCs w:val="21"/>
                <w:lang w:val="en-US" w:eastAsia="zh-CN"/>
              </w:rPr>
              <w:t>统筹主持标准编制工作</w:t>
            </w:r>
          </w:p>
        </w:tc>
      </w:tr>
      <w:tr w14:paraId="0136E09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5" w:type="pct"/>
            <w:tcBorders>
              <w:top w:val="single" w:color="auto" w:sz="4" w:space="0"/>
              <w:left w:val="single" w:color="auto" w:sz="4" w:space="0"/>
              <w:bottom w:val="single" w:color="auto" w:sz="4" w:space="0"/>
            </w:tcBorders>
            <w:vAlign w:val="center"/>
          </w:tcPr>
          <w:p w14:paraId="75589171">
            <w:pPr>
              <w:keepNext w:val="0"/>
              <w:keepLines w:val="0"/>
              <w:widowControl/>
              <w:suppressLineNumbers w:val="0"/>
              <w:ind w:left="0" w:leftChars="0" w:firstLine="0" w:firstLineChars="0"/>
              <w:jc w:val="center"/>
              <w:textAlignment w:val="center"/>
              <w:rPr>
                <w:rFonts w:hint="eastAsia" w:ascii="宋体" w:hAnsi="宋体" w:eastAsia="宋体" w:cs="仿宋_GB2312"/>
                <w:sz w:val="21"/>
                <w:szCs w:val="21"/>
                <w:lang w:val="en-US" w:eastAsia="zh-CN"/>
              </w:rPr>
            </w:pPr>
            <w:r>
              <w:rPr>
                <w:rFonts w:hint="eastAsia" w:ascii="宋体" w:hAnsi="宋体" w:eastAsia="宋体" w:cs="仿宋_GB2312"/>
                <w:sz w:val="21"/>
                <w:szCs w:val="21"/>
                <w:lang w:val="en-US" w:eastAsia="zh-CN"/>
              </w:rPr>
              <w:t>黄云芳</w:t>
            </w:r>
          </w:p>
        </w:tc>
        <w:tc>
          <w:tcPr>
            <w:tcW w:w="747" w:type="pct"/>
            <w:tcBorders>
              <w:top w:val="single" w:color="auto" w:sz="4" w:space="0"/>
              <w:bottom w:val="single" w:color="auto" w:sz="4" w:space="0"/>
            </w:tcBorders>
            <w:shd w:val="clear" w:color="auto" w:fill="auto"/>
            <w:vAlign w:val="center"/>
          </w:tcPr>
          <w:p w14:paraId="61D0919D">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宋体" w:hAnsi="宋体" w:eastAsia="宋体" w:cs="仿宋_GB2312"/>
                <w:kern w:val="2"/>
                <w:sz w:val="21"/>
                <w:szCs w:val="21"/>
                <w:lang w:val="en-US" w:eastAsia="zh-CN" w:bidi="ar-SA"/>
              </w:rPr>
            </w:pPr>
            <w:r>
              <w:rPr>
                <w:rFonts w:hint="eastAsia" w:ascii="宋体" w:hAnsi="宋体" w:eastAsia="宋体" w:cs="仿宋_GB2312"/>
                <w:sz w:val="21"/>
                <w:szCs w:val="21"/>
                <w:lang w:val="en-US" w:eastAsia="zh-CN"/>
              </w:rPr>
              <w:t>专业技术人员/助理馆员</w:t>
            </w:r>
          </w:p>
        </w:tc>
        <w:tc>
          <w:tcPr>
            <w:tcW w:w="1329" w:type="dxa"/>
            <w:tcBorders>
              <w:top w:val="single" w:color="auto" w:sz="4" w:space="0"/>
              <w:bottom w:val="single" w:color="auto" w:sz="4" w:space="0"/>
            </w:tcBorders>
            <w:shd w:val="clear" w:color="auto" w:fill="auto"/>
            <w:vAlign w:val="center"/>
          </w:tcPr>
          <w:p w14:paraId="196F0DBA">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宋体" w:hAnsi="宋体" w:eastAsia="宋体" w:cs="仿宋_GB2312"/>
                <w:sz w:val="21"/>
                <w:szCs w:val="21"/>
                <w:lang w:val="en-US" w:eastAsia="zh-CN"/>
              </w:rPr>
            </w:pPr>
            <w:r>
              <w:rPr>
                <w:rFonts w:hint="eastAsia" w:ascii="宋体" w:hAnsi="宋体" w:eastAsia="宋体" w:cs="仿宋_GB2312"/>
                <w:sz w:val="21"/>
                <w:szCs w:val="21"/>
                <w:lang w:val="en-US" w:eastAsia="zh-CN"/>
              </w:rPr>
              <w:t>科普作品创作</w:t>
            </w:r>
          </w:p>
        </w:tc>
        <w:tc>
          <w:tcPr>
            <w:tcW w:w="1929" w:type="dxa"/>
            <w:tcBorders>
              <w:top w:val="single" w:color="auto" w:sz="4" w:space="0"/>
              <w:bottom w:val="single" w:color="auto" w:sz="4" w:space="0"/>
            </w:tcBorders>
            <w:shd w:val="clear" w:color="auto" w:fill="auto"/>
            <w:vAlign w:val="center"/>
          </w:tcPr>
          <w:p w14:paraId="546E5C4E">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宋体" w:hAnsi="宋体" w:eastAsia="宋体" w:cs="仿宋_GB2312"/>
                <w:sz w:val="21"/>
                <w:szCs w:val="21"/>
                <w:lang w:val="en-US" w:eastAsia="zh-CN"/>
              </w:rPr>
            </w:pPr>
            <w:r>
              <w:rPr>
                <w:rFonts w:hint="eastAsia" w:ascii="宋体" w:hAnsi="宋体" w:eastAsia="宋体" w:cs="仿宋_GB2312"/>
                <w:sz w:val="21"/>
                <w:szCs w:val="21"/>
                <w:lang w:val="en-US" w:eastAsia="zh-CN"/>
              </w:rPr>
              <w:t>广西壮族自治区亚热带作物研究所</w:t>
            </w:r>
          </w:p>
        </w:tc>
        <w:tc>
          <w:tcPr>
            <w:tcW w:w="1851" w:type="pct"/>
            <w:tcBorders>
              <w:top w:val="single" w:color="auto" w:sz="4" w:space="0"/>
              <w:bottom w:val="single" w:color="auto" w:sz="4" w:space="0"/>
              <w:right w:val="single" w:color="auto" w:sz="4" w:space="0"/>
            </w:tcBorders>
            <w:shd w:val="clear" w:color="auto" w:fill="auto"/>
            <w:vAlign w:val="center"/>
          </w:tcPr>
          <w:p w14:paraId="28D7FDF8">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宋体" w:hAnsi="宋体" w:eastAsia="宋体" w:cs="仿宋_GB2312"/>
                <w:kern w:val="2"/>
                <w:sz w:val="21"/>
                <w:szCs w:val="21"/>
                <w:lang w:val="en-US" w:eastAsia="zh-CN" w:bidi="ar-SA"/>
              </w:rPr>
            </w:pPr>
            <w:r>
              <w:rPr>
                <w:rFonts w:hint="eastAsia" w:ascii="宋体" w:hAnsi="宋体" w:eastAsia="宋体" w:cs="仿宋_GB2312"/>
                <w:sz w:val="21"/>
                <w:szCs w:val="21"/>
                <w:lang w:val="en-US" w:eastAsia="zh-CN"/>
              </w:rPr>
              <w:t>参与标准文本及编制说明编写，质量控制。</w:t>
            </w:r>
          </w:p>
        </w:tc>
      </w:tr>
      <w:tr w14:paraId="5CBF995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5" w:type="pct"/>
            <w:tcBorders>
              <w:top w:val="single" w:color="auto" w:sz="4" w:space="0"/>
              <w:left w:val="single" w:color="auto" w:sz="4" w:space="0"/>
              <w:bottom w:val="single" w:color="auto" w:sz="4" w:space="0"/>
            </w:tcBorders>
            <w:vAlign w:val="center"/>
          </w:tcPr>
          <w:p w14:paraId="315213D6">
            <w:pPr>
              <w:keepNext w:val="0"/>
              <w:keepLines w:val="0"/>
              <w:widowControl/>
              <w:suppressLineNumbers w:val="0"/>
              <w:ind w:left="0" w:leftChars="0" w:firstLine="0" w:firstLineChars="0"/>
              <w:jc w:val="center"/>
              <w:textAlignment w:val="center"/>
              <w:rPr>
                <w:rFonts w:hint="eastAsia" w:ascii="宋体" w:hAnsi="宋体" w:eastAsia="宋体" w:cs="仿宋_GB2312"/>
                <w:sz w:val="21"/>
                <w:szCs w:val="21"/>
                <w:lang w:val="en-US" w:eastAsia="zh-CN"/>
              </w:rPr>
            </w:pPr>
            <w:r>
              <w:rPr>
                <w:rFonts w:hint="eastAsia" w:ascii="宋体" w:hAnsi="宋体" w:eastAsia="宋体" w:cs="仿宋_GB2312"/>
                <w:sz w:val="21"/>
                <w:szCs w:val="21"/>
                <w:lang w:val="en-US" w:eastAsia="zh-CN"/>
              </w:rPr>
              <w:t>陈致威</w:t>
            </w:r>
          </w:p>
        </w:tc>
        <w:tc>
          <w:tcPr>
            <w:tcW w:w="1371" w:type="dxa"/>
            <w:tcBorders>
              <w:top w:val="single" w:color="auto" w:sz="4" w:space="0"/>
              <w:bottom w:val="single" w:color="auto" w:sz="4" w:space="0"/>
            </w:tcBorders>
            <w:vAlign w:val="center"/>
          </w:tcPr>
          <w:p w14:paraId="34CFC792">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宋体" w:hAnsi="宋体" w:eastAsia="宋体" w:cs="仿宋_GB2312"/>
                <w:sz w:val="21"/>
                <w:szCs w:val="21"/>
                <w:lang w:val="en-US" w:eastAsia="zh-CN"/>
              </w:rPr>
            </w:pPr>
            <w:r>
              <w:rPr>
                <w:rFonts w:hint="eastAsia" w:ascii="宋体" w:hAnsi="宋体" w:eastAsia="宋体" w:cs="仿宋_GB2312"/>
                <w:sz w:val="21"/>
                <w:szCs w:val="21"/>
                <w:lang w:val="en-US" w:eastAsia="zh-CN"/>
              </w:rPr>
              <w:t>专业技术人员/助理研究员</w:t>
            </w:r>
          </w:p>
        </w:tc>
        <w:tc>
          <w:tcPr>
            <w:tcW w:w="1329" w:type="dxa"/>
            <w:tcBorders>
              <w:top w:val="single" w:color="auto" w:sz="4" w:space="0"/>
              <w:bottom w:val="single" w:color="auto" w:sz="4" w:space="0"/>
            </w:tcBorders>
            <w:vAlign w:val="center"/>
          </w:tcPr>
          <w:p w14:paraId="2227EE51">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宋体" w:hAnsi="宋体" w:eastAsia="宋体" w:cs="仿宋_GB2312"/>
                <w:sz w:val="21"/>
                <w:szCs w:val="21"/>
                <w:lang w:val="en-US" w:eastAsia="zh-CN"/>
              </w:rPr>
            </w:pPr>
            <w:r>
              <w:rPr>
                <w:rFonts w:hint="eastAsia" w:ascii="宋体" w:hAnsi="宋体" w:eastAsia="宋体" w:cs="仿宋_GB2312"/>
                <w:sz w:val="21"/>
                <w:szCs w:val="21"/>
                <w:lang w:val="en-US" w:eastAsia="zh-CN"/>
              </w:rPr>
              <w:t>科普理论研究</w:t>
            </w:r>
          </w:p>
        </w:tc>
        <w:tc>
          <w:tcPr>
            <w:tcW w:w="1929" w:type="dxa"/>
            <w:tcBorders>
              <w:top w:val="single" w:color="auto" w:sz="4" w:space="0"/>
              <w:bottom w:val="single" w:color="auto" w:sz="4" w:space="0"/>
            </w:tcBorders>
            <w:vAlign w:val="center"/>
          </w:tcPr>
          <w:p w14:paraId="70EE5315">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宋体" w:hAnsi="宋体" w:eastAsia="宋体" w:cs="仿宋_GB2312"/>
                <w:sz w:val="21"/>
                <w:szCs w:val="21"/>
                <w:lang w:val="en-US" w:eastAsia="zh-CN"/>
              </w:rPr>
            </w:pPr>
            <w:r>
              <w:rPr>
                <w:rFonts w:hint="eastAsia" w:ascii="宋体" w:hAnsi="宋体" w:eastAsia="宋体" w:cs="仿宋_GB2312"/>
                <w:sz w:val="21"/>
                <w:szCs w:val="21"/>
                <w:lang w:val="en-US" w:eastAsia="zh-CN"/>
              </w:rPr>
              <w:t>广西壮族自治区亚热带作物研究所</w:t>
            </w:r>
          </w:p>
        </w:tc>
        <w:tc>
          <w:tcPr>
            <w:tcW w:w="1851" w:type="pct"/>
            <w:tcBorders>
              <w:top w:val="single" w:color="auto" w:sz="4" w:space="0"/>
              <w:bottom w:val="single" w:color="auto" w:sz="4" w:space="0"/>
              <w:right w:val="single" w:color="auto" w:sz="4" w:space="0"/>
            </w:tcBorders>
            <w:vAlign w:val="center"/>
          </w:tcPr>
          <w:p w14:paraId="01F630ED">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宋体" w:hAnsi="宋体" w:eastAsia="宋体" w:cs="仿宋_GB2312"/>
                <w:sz w:val="21"/>
                <w:szCs w:val="21"/>
                <w:lang w:val="en-US" w:eastAsia="zh-CN"/>
              </w:rPr>
            </w:pPr>
            <w:r>
              <w:rPr>
                <w:rFonts w:hint="eastAsia" w:ascii="宋体" w:hAnsi="宋体" w:eastAsia="宋体" w:cs="仿宋_GB2312"/>
                <w:sz w:val="21"/>
                <w:szCs w:val="21"/>
                <w:lang w:val="en-US" w:eastAsia="zh-CN"/>
              </w:rPr>
              <w:t>参与标准文本及编制说明的编写；组织开展标准征求意见会；对标准实施情况进行总结分析，不断对地方标准提出修正意见。</w:t>
            </w:r>
          </w:p>
        </w:tc>
      </w:tr>
      <w:tr w14:paraId="3F8C7E8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5" w:type="pct"/>
            <w:tcBorders>
              <w:top w:val="single" w:color="auto" w:sz="4" w:space="0"/>
              <w:left w:val="single" w:color="auto" w:sz="4" w:space="0"/>
              <w:bottom w:val="single" w:color="auto" w:sz="4" w:space="0"/>
            </w:tcBorders>
            <w:vAlign w:val="center"/>
          </w:tcPr>
          <w:p w14:paraId="3D6A5CA6">
            <w:pPr>
              <w:keepNext w:val="0"/>
              <w:keepLines w:val="0"/>
              <w:widowControl/>
              <w:suppressLineNumbers w:val="0"/>
              <w:ind w:left="0" w:leftChars="0" w:firstLine="0" w:firstLineChars="0"/>
              <w:jc w:val="center"/>
              <w:textAlignment w:val="center"/>
              <w:rPr>
                <w:rFonts w:hint="eastAsia" w:ascii="宋体" w:hAnsi="宋体" w:eastAsia="宋体" w:cs="仿宋_GB2312"/>
                <w:sz w:val="21"/>
                <w:szCs w:val="21"/>
                <w:lang w:val="en-US" w:eastAsia="zh-CN"/>
              </w:rPr>
            </w:pPr>
            <w:r>
              <w:rPr>
                <w:rFonts w:hint="eastAsia" w:ascii="宋体" w:hAnsi="宋体" w:eastAsia="宋体" w:cs="仿宋_GB2312"/>
                <w:sz w:val="21"/>
                <w:szCs w:val="21"/>
                <w:lang w:val="en-US" w:eastAsia="zh-CN"/>
              </w:rPr>
              <w:t>汤智敏</w:t>
            </w:r>
          </w:p>
        </w:tc>
        <w:tc>
          <w:tcPr>
            <w:tcW w:w="1371" w:type="dxa"/>
            <w:tcBorders>
              <w:top w:val="single" w:color="auto" w:sz="4" w:space="0"/>
              <w:bottom w:val="single" w:color="auto" w:sz="4" w:space="0"/>
            </w:tcBorders>
            <w:vAlign w:val="center"/>
          </w:tcPr>
          <w:p w14:paraId="34712612">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宋体" w:hAnsi="宋体" w:eastAsia="宋体" w:cs="仿宋_GB2312"/>
                <w:sz w:val="21"/>
                <w:szCs w:val="21"/>
                <w:lang w:val="en-US" w:eastAsia="zh-CN"/>
              </w:rPr>
            </w:pPr>
            <w:r>
              <w:rPr>
                <w:rFonts w:hint="eastAsia" w:ascii="宋体" w:hAnsi="宋体" w:eastAsia="宋体" w:cs="仿宋_GB2312"/>
                <w:sz w:val="21"/>
                <w:szCs w:val="21"/>
                <w:lang w:val="en-US" w:eastAsia="zh-CN"/>
              </w:rPr>
              <w:t>副主任/会计师</w:t>
            </w:r>
          </w:p>
        </w:tc>
        <w:tc>
          <w:tcPr>
            <w:tcW w:w="1329" w:type="dxa"/>
            <w:tcBorders>
              <w:top w:val="single" w:color="auto" w:sz="4" w:space="0"/>
              <w:bottom w:val="single" w:color="auto" w:sz="4" w:space="0"/>
            </w:tcBorders>
            <w:vAlign w:val="center"/>
          </w:tcPr>
          <w:p w14:paraId="73CE4B3D">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宋体" w:hAnsi="宋体" w:eastAsia="宋体" w:cs="仿宋_GB2312"/>
                <w:sz w:val="21"/>
                <w:szCs w:val="21"/>
                <w:lang w:val="en-US" w:eastAsia="zh-CN"/>
              </w:rPr>
            </w:pPr>
            <w:r>
              <w:rPr>
                <w:rFonts w:hint="eastAsia" w:ascii="宋体" w:hAnsi="宋体" w:eastAsia="宋体" w:cs="仿宋_GB2312"/>
                <w:sz w:val="21"/>
                <w:szCs w:val="21"/>
                <w:lang w:val="en-US" w:eastAsia="zh-CN"/>
              </w:rPr>
              <w:t>科普教育基地综合管理部管理</w:t>
            </w:r>
          </w:p>
        </w:tc>
        <w:tc>
          <w:tcPr>
            <w:tcW w:w="1929" w:type="dxa"/>
            <w:tcBorders>
              <w:top w:val="single" w:color="auto" w:sz="4" w:space="0"/>
              <w:bottom w:val="single" w:color="auto" w:sz="4" w:space="0"/>
            </w:tcBorders>
            <w:vAlign w:val="center"/>
          </w:tcPr>
          <w:p w14:paraId="4C296709">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宋体" w:hAnsi="宋体" w:eastAsia="宋体" w:cs="仿宋_GB2312"/>
                <w:sz w:val="21"/>
                <w:szCs w:val="21"/>
                <w:lang w:val="en-US" w:eastAsia="zh-CN"/>
              </w:rPr>
            </w:pPr>
            <w:r>
              <w:rPr>
                <w:rFonts w:hint="eastAsia" w:ascii="宋体" w:hAnsi="宋体" w:eastAsia="宋体" w:cs="仿宋_GB2312"/>
                <w:sz w:val="21"/>
                <w:szCs w:val="21"/>
                <w:lang w:val="en-US" w:eastAsia="zh-CN"/>
              </w:rPr>
              <w:t>云南热带作物研究所</w:t>
            </w:r>
          </w:p>
        </w:tc>
        <w:tc>
          <w:tcPr>
            <w:tcW w:w="1851" w:type="pct"/>
            <w:tcBorders>
              <w:top w:val="single" w:color="auto" w:sz="4" w:space="0"/>
              <w:bottom w:val="single" w:color="auto" w:sz="4" w:space="0"/>
              <w:right w:val="single" w:color="auto" w:sz="4" w:space="0"/>
            </w:tcBorders>
            <w:vAlign w:val="center"/>
          </w:tcPr>
          <w:p w14:paraId="6B62921E">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宋体" w:hAnsi="宋体" w:eastAsia="宋体" w:cs="仿宋_GB2312"/>
                <w:sz w:val="21"/>
                <w:szCs w:val="21"/>
                <w:lang w:val="en-US" w:eastAsia="zh-CN"/>
              </w:rPr>
            </w:pPr>
            <w:r>
              <w:rPr>
                <w:rFonts w:hint="eastAsia" w:ascii="宋体" w:hAnsi="宋体" w:eastAsia="宋体" w:cs="仿宋_GB2312"/>
                <w:sz w:val="21"/>
                <w:szCs w:val="21"/>
                <w:lang w:val="en-US" w:eastAsia="zh-CN"/>
              </w:rPr>
              <w:t>参与标准编制工作，组织人员进行标准发布后的宣贯培训。</w:t>
            </w:r>
          </w:p>
        </w:tc>
      </w:tr>
      <w:tr w14:paraId="48D23BD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5" w:type="pct"/>
            <w:tcBorders>
              <w:top w:val="single" w:color="auto" w:sz="4" w:space="0"/>
              <w:left w:val="single" w:color="auto" w:sz="4" w:space="0"/>
              <w:bottom w:val="single" w:color="auto" w:sz="4" w:space="0"/>
            </w:tcBorders>
            <w:vAlign w:val="center"/>
          </w:tcPr>
          <w:p w14:paraId="0BDF2E81">
            <w:pPr>
              <w:keepNext w:val="0"/>
              <w:keepLines w:val="0"/>
              <w:widowControl/>
              <w:suppressLineNumbers w:val="0"/>
              <w:ind w:left="0" w:leftChars="0" w:firstLine="0" w:firstLineChars="0"/>
              <w:jc w:val="center"/>
              <w:textAlignment w:val="center"/>
              <w:rPr>
                <w:rFonts w:hint="eastAsia" w:ascii="宋体" w:hAnsi="宋体" w:eastAsia="宋体" w:cs="仿宋_GB2312"/>
                <w:sz w:val="21"/>
                <w:szCs w:val="21"/>
                <w:lang w:val="en-US" w:eastAsia="zh-CN"/>
              </w:rPr>
            </w:pPr>
            <w:r>
              <w:rPr>
                <w:rFonts w:hint="eastAsia" w:ascii="宋体" w:hAnsi="宋体" w:eastAsia="宋体" w:cs="仿宋_GB2312"/>
                <w:sz w:val="21"/>
                <w:szCs w:val="21"/>
                <w:lang w:val="en-US" w:eastAsia="zh-CN"/>
              </w:rPr>
              <w:t>黄强</w:t>
            </w:r>
          </w:p>
        </w:tc>
        <w:tc>
          <w:tcPr>
            <w:tcW w:w="1371" w:type="dxa"/>
            <w:tcBorders>
              <w:top w:val="single" w:color="auto" w:sz="4" w:space="0"/>
              <w:bottom w:val="single" w:color="auto" w:sz="4" w:space="0"/>
            </w:tcBorders>
            <w:vAlign w:val="center"/>
          </w:tcPr>
          <w:p w14:paraId="0C07D173">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宋体" w:hAnsi="宋体" w:eastAsia="宋体" w:cs="仿宋_GB2312"/>
                <w:sz w:val="21"/>
                <w:szCs w:val="21"/>
                <w:lang w:val="en-US" w:eastAsia="zh-CN"/>
              </w:rPr>
            </w:pPr>
            <w:r>
              <w:rPr>
                <w:rFonts w:hint="eastAsia" w:ascii="宋体" w:hAnsi="宋体" w:eastAsia="宋体" w:cs="仿宋_GB2312"/>
                <w:sz w:val="21"/>
                <w:szCs w:val="21"/>
                <w:lang w:val="en-US" w:eastAsia="zh-CN"/>
              </w:rPr>
              <w:t>工程师</w:t>
            </w:r>
          </w:p>
        </w:tc>
        <w:tc>
          <w:tcPr>
            <w:tcW w:w="1329" w:type="dxa"/>
            <w:tcBorders>
              <w:top w:val="single" w:color="auto" w:sz="4" w:space="0"/>
              <w:bottom w:val="single" w:color="auto" w:sz="4" w:space="0"/>
            </w:tcBorders>
            <w:shd w:val="clear" w:color="auto" w:fill="auto"/>
            <w:vAlign w:val="center"/>
          </w:tcPr>
          <w:p w14:paraId="22FAE04D">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宋体" w:hAnsi="宋体" w:eastAsia="宋体" w:cs="仿宋_GB2312"/>
                <w:sz w:val="21"/>
                <w:szCs w:val="21"/>
                <w:lang w:val="en-US" w:eastAsia="zh-CN"/>
              </w:rPr>
            </w:pPr>
            <w:r>
              <w:rPr>
                <w:rFonts w:hint="eastAsia" w:ascii="宋体" w:hAnsi="宋体" w:eastAsia="宋体" w:cs="仿宋_GB2312"/>
                <w:sz w:val="21"/>
                <w:szCs w:val="21"/>
                <w:lang w:val="en-US" w:eastAsia="zh-CN"/>
              </w:rPr>
              <w:t>标准化</w:t>
            </w:r>
          </w:p>
        </w:tc>
        <w:tc>
          <w:tcPr>
            <w:tcW w:w="1929" w:type="dxa"/>
            <w:tcBorders>
              <w:top w:val="single" w:color="auto" w:sz="4" w:space="0"/>
              <w:bottom w:val="single" w:color="auto" w:sz="4" w:space="0"/>
            </w:tcBorders>
            <w:shd w:val="clear" w:color="auto" w:fill="auto"/>
            <w:vAlign w:val="center"/>
          </w:tcPr>
          <w:p w14:paraId="0D7BB44E">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宋体" w:hAnsi="宋体" w:eastAsia="宋体" w:cs="仿宋_GB2312"/>
                <w:sz w:val="21"/>
                <w:szCs w:val="21"/>
                <w:lang w:val="en-US" w:eastAsia="zh-CN"/>
              </w:rPr>
            </w:pPr>
            <w:r>
              <w:rPr>
                <w:rFonts w:hint="eastAsia" w:ascii="宋体" w:hAnsi="宋体" w:eastAsia="宋体" w:cs="仿宋_GB2312"/>
                <w:sz w:val="21"/>
                <w:szCs w:val="21"/>
                <w:lang w:val="en-US" w:eastAsia="zh-CN"/>
              </w:rPr>
              <w:t>广西标准化协会</w:t>
            </w:r>
          </w:p>
        </w:tc>
        <w:tc>
          <w:tcPr>
            <w:tcW w:w="1851" w:type="pct"/>
            <w:tcBorders>
              <w:top w:val="single" w:color="auto" w:sz="4" w:space="0"/>
              <w:bottom w:val="single" w:color="auto" w:sz="4" w:space="0"/>
              <w:right w:val="single" w:color="auto" w:sz="4" w:space="0"/>
            </w:tcBorders>
            <w:vAlign w:val="center"/>
          </w:tcPr>
          <w:p w14:paraId="5DC0CF01">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宋体" w:hAnsi="宋体" w:eastAsia="宋体" w:cs="仿宋_GB2312"/>
                <w:sz w:val="21"/>
                <w:szCs w:val="21"/>
                <w:lang w:val="en-US" w:eastAsia="zh-CN"/>
              </w:rPr>
            </w:pPr>
            <w:r>
              <w:rPr>
                <w:rFonts w:hint="eastAsia" w:ascii="宋体" w:hAnsi="宋体" w:eastAsia="宋体" w:cs="仿宋_GB2312"/>
                <w:sz w:val="21"/>
                <w:szCs w:val="21"/>
                <w:lang w:val="en-US" w:eastAsia="zh-CN"/>
              </w:rPr>
              <w:t>参与标准文本及编制说明的编写；组织开展标准征求意见会；对标准实施情况进行总结分析，不断对地方标准提出修正意见。</w:t>
            </w:r>
          </w:p>
        </w:tc>
      </w:tr>
      <w:tr w14:paraId="549103F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5" w:type="pct"/>
            <w:tcBorders>
              <w:top w:val="single" w:color="auto" w:sz="4" w:space="0"/>
              <w:left w:val="single" w:color="auto" w:sz="4" w:space="0"/>
              <w:bottom w:val="single" w:color="auto" w:sz="4" w:space="0"/>
            </w:tcBorders>
            <w:vAlign w:val="center"/>
          </w:tcPr>
          <w:p w14:paraId="444DB4B1">
            <w:pPr>
              <w:keepNext w:val="0"/>
              <w:keepLines w:val="0"/>
              <w:widowControl/>
              <w:suppressLineNumbers w:val="0"/>
              <w:ind w:left="0" w:leftChars="0" w:firstLine="0" w:firstLineChars="0"/>
              <w:jc w:val="center"/>
              <w:textAlignment w:val="center"/>
              <w:rPr>
                <w:rFonts w:hint="eastAsia" w:ascii="宋体" w:hAnsi="宋体" w:eastAsia="宋体" w:cs="仿宋_GB2312"/>
                <w:sz w:val="21"/>
                <w:szCs w:val="21"/>
                <w:lang w:val="en-US" w:eastAsia="zh-CN"/>
              </w:rPr>
            </w:pPr>
            <w:r>
              <w:rPr>
                <w:rFonts w:hint="eastAsia" w:ascii="宋体" w:hAnsi="宋体" w:eastAsia="宋体" w:cs="仿宋_GB2312"/>
                <w:sz w:val="21"/>
                <w:szCs w:val="21"/>
                <w:lang w:val="en-US" w:eastAsia="zh-CN"/>
              </w:rPr>
              <w:t>陈赶林</w:t>
            </w:r>
          </w:p>
        </w:tc>
        <w:tc>
          <w:tcPr>
            <w:tcW w:w="1371" w:type="dxa"/>
            <w:tcBorders>
              <w:top w:val="single" w:color="auto" w:sz="4" w:space="0"/>
              <w:bottom w:val="single" w:color="auto" w:sz="4" w:space="0"/>
            </w:tcBorders>
            <w:vAlign w:val="center"/>
          </w:tcPr>
          <w:p w14:paraId="7419B620">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宋体" w:hAnsi="宋体" w:eastAsia="宋体" w:cs="仿宋_GB2312"/>
                <w:sz w:val="21"/>
                <w:szCs w:val="21"/>
                <w:lang w:val="en-US" w:eastAsia="zh-CN"/>
              </w:rPr>
            </w:pPr>
            <w:r>
              <w:rPr>
                <w:rFonts w:hint="eastAsia" w:ascii="宋体" w:hAnsi="宋体" w:eastAsia="宋体" w:cs="仿宋_GB2312"/>
                <w:sz w:val="21"/>
                <w:szCs w:val="21"/>
                <w:lang w:val="en-US" w:eastAsia="zh-CN"/>
              </w:rPr>
              <w:t>所长/研究员</w:t>
            </w:r>
          </w:p>
        </w:tc>
        <w:tc>
          <w:tcPr>
            <w:tcW w:w="1329" w:type="dxa"/>
            <w:tcBorders>
              <w:top w:val="single" w:color="auto" w:sz="4" w:space="0"/>
              <w:bottom w:val="single" w:color="auto" w:sz="4" w:space="0"/>
            </w:tcBorders>
            <w:vAlign w:val="center"/>
          </w:tcPr>
          <w:p w14:paraId="196CE2F0">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宋体" w:hAnsi="宋体" w:eastAsia="宋体" w:cs="仿宋_GB2312"/>
                <w:sz w:val="21"/>
                <w:szCs w:val="21"/>
                <w:lang w:val="en-US" w:eastAsia="zh-CN"/>
              </w:rPr>
            </w:pPr>
            <w:r>
              <w:rPr>
                <w:rFonts w:hint="eastAsia" w:ascii="宋体" w:hAnsi="宋体" w:eastAsia="宋体" w:cs="仿宋_GB2312"/>
                <w:sz w:val="21"/>
                <w:szCs w:val="21"/>
                <w:lang w:val="en-US" w:eastAsia="zh-CN"/>
              </w:rPr>
              <w:t>科普理论研究</w:t>
            </w:r>
          </w:p>
        </w:tc>
        <w:tc>
          <w:tcPr>
            <w:tcW w:w="1929" w:type="dxa"/>
            <w:tcBorders>
              <w:top w:val="single" w:color="auto" w:sz="4" w:space="0"/>
              <w:bottom w:val="single" w:color="auto" w:sz="4" w:space="0"/>
            </w:tcBorders>
            <w:vAlign w:val="center"/>
          </w:tcPr>
          <w:p w14:paraId="014AC7AA">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宋体" w:hAnsi="宋体" w:eastAsia="宋体" w:cs="仿宋_GB2312"/>
                <w:sz w:val="21"/>
                <w:szCs w:val="21"/>
                <w:lang w:val="en-US" w:eastAsia="zh-CN"/>
              </w:rPr>
            </w:pPr>
            <w:r>
              <w:rPr>
                <w:rFonts w:hint="eastAsia" w:ascii="宋体" w:hAnsi="宋体" w:eastAsia="宋体" w:cs="仿宋_GB2312"/>
                <w:sz w:val="21"/>
                <w:szCs w:val="21"/>
                <w:lang w:val="en-US" w:eastAsia="zh-CN"/>
              </w:rPr>
              <w:t>广西壮族自治区亚热带作物研究所</w:t>
            </w:r>
          </w:p>
        </w:tc>
        <w:tc>
          <w:tcPr>
            <w:tcW w:w="1851" w:type="pct"/>
            <w:tcBorders>
              <w:top w:val="single" w:color="auto" w:sz="4" w:space="0"/>
              <w:bottom w:val="single" w:color="auto" w:sz="4" w:space="0"/>
              <w:right w:val="single" w:color="auto" w:sz="4" w:space="0"/>
            </w:tcBorders>
            <w:vAlign w:val="center"/>
          </w:tcPr>
          <w:p w14:paraId="2CDA7A42">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宋体" w:hAnsi="宋体" w:eastAsia="宋体" w:cs="仿宋_GB2312"/>
                <w:sz w:val="21"/>
                <w:szCs w:val="21"/>
                <w:lang w:val="en-US" w:eastAsia="zh-CN"/>
              </w:rPr>
            </w:pPr>
            <w:r>
              <w:rPr>
                <w:rFonts w:hint="eastAsia" w:ascii="宋体" w:hAnsi="宋体" w:eastAsia="宋体" w:cs="仿宋_GB2312"/>
                <w:sz w:val="21"/>
                <w:szCs w:val="21"/>
                <w:lang w:val="en-US" w:eastAsia="zh-CN"/>
              </w:rPr>
              <w:t>参与标准文本及编制说明的编写；组织开展标准征求意见会；对标准实施情况进行总结分析，不断对地方标准提出修正意见。</w:t>
            </w:r>
          </w:p>
        </w:tc>
      </w:tr>
      <w:tr w14:paraId="7D9E7DC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5" w:type="pct"/>
            <w:tcBorders>
              <w:top w:val="single" w:color="auto" w:sz="4" w:space="0"/>
              <w:left w:val="single" w:color="auto" w:sz="4" w:space="0"/>
              <w:bottom w:val="single" w:color="auto" w:sz="4" w:space="0"/>
            </w:tcBorders>
            <w:vAlign w:val="center"/>
          </w:tcPr>
          <w:p w14:paraId="5A527688">
            <w:pPr>
              <w:keepNext w:val="0"/>
              <w:keepLines w:val="0"/>
              <w:widowControl/>
              <w:suppressLineNumbers w:val="0"/>
              <w:ind w:left="0" w:leftChars="0" w:firstLine="0" w:firstLineChars="0"/>
              <w:jc w:val="center"/>
              <w:textAlignment w:val="center"/>
              <w:rPr>
                <w:rFonts w:hint="eastAsia" w:ascii="宋体" w:hAnsi="宋体" w:eastAsia="宋体" w:cs="仿宋_GB2312"/>
                <w:sz w:val="21"/>
                <w:szCs w:val="21"/>
                <w:lang w:val="en-US" w:eastAsia="zh-CN"/>
              </w:rPr>
            </w:pPr>
            <w:r>
              <w:rPr>
                <w:rFonts w:hint="eastAsia" w:ascii="宋体" w:hAnsi="宋体" w:eastAsia="宋体" w:cs="仿宋_GB2312"/>
                <w:sz w:val="21"/>
                <w:szCs w:val="21"/>
                <w:lang w:val="en-US" w:eastAsia="zh-CN"/>
              </w:rPr>
              <w:t>孙卓婧</w:t>
            </w:r>
          </w:p>
        </w:tc>
        <w:tc>
          <w:tcPr>
            <w:tcW w:w="1371" w:type="dxa"/>
            <w:tcBorders>
              <w:top w:val="single" w:color="auto" w:sz="4" w:space="0"/>
              <w:bottom w:val="single" w:color="auto" w:sz="4" w:space="0"/>
            </w:tcBorders>
            <w:vAlign w:val="center"/>
          </w:tcPr>
          <w:p w14:paraId="289A265C">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宋体" w:hAnsi="宋体" w:eastAsia="宋体" w:cs="仿宋_GB2312"/>
                <w:sz w:val="21"/>
                <w:szCs w:val="21"/>
                <w:lang w:val="en-US" w:eastAsia="zh-CN"/>
              </w:rPr>
            </w:pPr>
            <w:r>
              <w:rPr>
                <w:rFonts w:hint="eastAsia" w:ascii="宋体" w:hAnsi="宋体" w:eastAsia="宋体" w:cs="仿宋_GB2312"/>
                <w:sz w:val="21"/>
                <w:szCs w:val="21"/>
                <w:lang w:val="en-US" w:eastAsia="zh-CN"/>
              </w:rPr>
              <w:t>副处长/高级农艺师</w:t>
            </w:r>
          </w:p>
        </w:tc>
        <w:tc>
          <w:tcPr>
            <w:tcW w:w="1329" w:type="dxa"/>
            <w:tcBorders>
              <w:top w:val="single" w:color="auto" w:sz="4" w:space="0"/>
              <w:bottom w:val="single" w:color="auto" w:sz="4" w:space="0"/>
            </w:tcBorders>
            <w:vAlign w:val="center"/>
          </w:tcPr>
          <w:p w14:paraId="3CBE60ED">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宋体" w:hAnsi="宋体" w:eastAsia="宋体" w:cs="仿宋_GB2312"/>
                <w:sz w:val="21"/>
                <w:szCs w:val="21"/>
                <w:lang w:val="en-US" w:eastAsia="zh-CN"/>
              </w:rPr>
            </w:pPr>
            <w:r>
              <w:rPr>
                <w:rFonts w:hint="eastAsia" w:ascii="宋体" w:hAnsi="宋体" w:eastAsia="宋体" w:cs="仿宋_GB2312"/>
                <w:sz w:val="21"/>
                <w:szCs w:val="21"/>
                <w:lang w:val="en-US" w:eastAsia="zh-CN"/>
              </w:rPr>
              <w:t>科普研究</w:t>
            </w:r>
          </w:p>
        </w:tc>
        <w:tc>
          <w:tcPr>
            <w:tcW w:w="1929" w:type="dxa"/>
            <w:tcBorders>
              <w:top w:val="single" w:color="auto" w:sz="4" w:space="0"/>
              <w:bottom w:val="single" w:color="auto" w:sz="4" w:space="0"/>
            </w:tcBorders>
            <w:vAlign w:val="center"/>
          </w:tcPr>
          <w:p w14:paraId="6E994534">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宋体" w:hAnsi="宋体" w:eastAsia="宋体" w:cs="仿宋_GB2312"/>
                <w:sz w:val="21"/>
                <w:szCs w:val="21"/>
                <w:lang w:val="en-US" w:eastAsia="zh-CN"/>
              </w:rPr>
            </w:pPr>
            <w:r>
              <w:rPr>
                <w:rFonts w:hint="eastAsia" w:ascii="宋体" w:hAnsi="宋体" w:eastAsia="宋体" w:cs="仿宋_GB2312"/>
                <w:sz w:val="21"/>
                <w:szCs w:val="21"/>
                <w:lang w:val="en-US" w:eastAsia="zh-CN"/>
              </w:rPr>
              <w:t>农业农村部科技发展中心</w:t>
            </w:r>
          </w:p>
        </w:tc>
        <w:tc>
          <w:tcPr>
            <w:tcW w:w="1851" w:type="pct"/>
            <w:tcBorders>
              <w:top w:val="single" w:color="auto" w:sz="4" w:space="0"/>
              <w:bottom w:val="single" w:color="auto" w:sz="4" w:space="0"/>
              <w:right w:val="single" w:color="auto" w:sz="4" w:space="0"/>
            </w:tcBorders>
            <w:vAlign w:val="center"/>
          </w:tcPr>
          <w:p w14:paraId="0900C552">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宋体" w:hAnsi="宋体" w:eastAsia="宋体" w:cs="仿宋_GB2312"/>
                <w:sz w:val="21"/>
                <w:szCs w:val="21"/>
                <w:lang w:val="en-US" w:eastAsia="zh-CN"/>
              </w:rPr>
            </w:pPr>
            <w:r>
              <w:rPr>
                <w:rFonts w:hint="eastAsia" w:ascii="宋体" w:hAnsi="宋体" w:eastAsia="宋体" w:cs="仿宋_GB2312"/>
                <w:sz w:val="21"/>
                <w:szCs w:val="21"/>
                <w:lang w:val="en-US" w:eastAsia="zh-CN"/>
              </w:rPr>
              <w:t>参与标准文本及编制说明的编写；组织开展标准征求意见会；对标准实施情况进行总结分析，不断对地方标准提出修正意见。</w:t>
            </w:r>
          </w:p>
        </w:tc>
      </w:tr>
      <w:tr w14:paraId="24A6B9A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5" w:type="pct"/>
            <w:tcBorders>
              <w:top w:val="single" w:color="auto" w:sz="4" w:space="0"/>
              <w:left w:val="single" w:color="auto" w:sz="4" w:space="0"/>
              <w:bottom w:val="single" w:color="auto" w:sz="4" w:space="0"/>
            </w:tcBorders>
            <w:vAlign w:val="center"/>
          </w:tcPr>
          <w:p w14:paraId="444C34D4">
            <w:pPr>
              <w:keepNext w:val="0"/>
              <w:keepLines w:val="0"/>
              <w:widowControl/>
              <w:suppressLineNumbers w:val="0"/>
              <w:ind w:left="0" w:leftChars="0" w:firstLine="0" w:firstLineChars="0"/>
              <w:jc w:val="center"/>
              <w:textAlignment w:val="center"/>
              <w:rPr>
                <w:rFonts w:hint="eastAsia" w:ascii="宋体" w:hAnsi="宋体" w:eastAsia="宋体" w:cs="仿宋_GB2312"/>
                <w:sz w:val="21"/>
                <w:szCs w:val="21"/>
                <w:lang w:val="en-US" w:eastAsia="zh-CN"/>
              </w:rPr>
            </w:pPr>
            <w:r>
              <w:rPr>
                <w:rFonts w:hint="eastAsia" w:ascii="宋体" w:hAnsi="宋体" w:eastAsia="宋体" w:cs="仿宋_GB2312"/>
                <w:sz w:val="21"/>
                <w:szCs w:val="21"/>
                <w:lang w:val="en-US" w:eastAsia="zh-CN"/>
              </w:rPr>
              <w:t>苏文潘</w:t>
            </w:r>
          </w:p>
        </w:tc>
        <w:tc>
          <w:tcPr>
            <w:tcW w:w="1371" w:type="dxa"/>
            <w:tcBorders>
              <w:top w:val="single" w:color="auto" w:sz="4" w:space="0"/>
              <w:bottom w:val="single" w:color="auto" w:sz="4" w:space="0"/>
            </w:tcBorders>
            <w:vAlign w:val="center"/>
          </w:tcPr>
          <w:p w14:paraId="3A937478">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宋体" w:hAnsi="宋体" w:eastAsia="宋体" w:cs="仿宋_GB2312"/>
                <w:sz w:val="21"/>
                <w:szCs w:val="21"/>
                <w:lang w:val="en-US" w:eastAsia="zh-CN"/>
              </w:rPr>
            </w:pPr>
            <w:r>
              <w:rPr>
                <w:rFonts w:hint="eastAsia" w:ascii="宋体" w:hAnsi="宋体" w:eastAsia="宋体" w:cs="仿宋_GB2312"/>
                <w:sz w:val="21"/>
                <w:szCs w:val="21"/>
                <w:lang w:val="en-US" w:eastAsia="zh-CN"/>
              </w:rPr>
              <w:t>专业技术人员/高级农艺师</w:t>
            </w:r>
          </w:p>
        </w:tc>
        <w:tc>
          <w:tcPr>
            <w:tcW w:w="1329" w:type="dxa"/>
            <w:tcBorders>
              <w:top w:val="single" w:color="auto" w:sz="4" w:space="0"/>
              <w:bottom w:val="single" w:color="auto" w:sz="4" w:space="0"/>
            </w:tcBorders>
            <w:vAlign w:val="center"/>
          </w:tcPr>
          <w:p w14:paraId="45E7F610">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宋体" w:hAnsi="宋体" w:eastAsia="宋体" w:cs="仿宋_GB2312"/>
                <w:sz w:val="21"/>
                <w:szCs w:val="21"/>
                <w:lang w:val="en-US" w:eastAsia="zh-CN"/>
              </w:rPr>
            </w:pPr>
            <w:r>
              <w:rPr>
                <w:rFonts w:hint="eastAsia" w:ascii="宋体" w:hAnsi="宋体" w:eastAsia="宋体" w:cs="仿宋_GB2312"/>
                <w:sz w:val="21"/>
                <w:szCs w:val="21"/>
                <w:lang w:val="en-US" w:eastAsia="zh-CN"/>
              </w:rPr>
              <w:t>科普基地管理与建设研究</w:t>
            </w:r>
          </w:p>
        </w:tc>
        <w:tc>
          <w:tcPr>
            <w:tcW w:w="1929" w:type="dxa"/>
            <w:tcBorders>
              <w:top w:val="single" w:color="auto" w:sz="4" w:space="0"/>
              <w:bottom w:val="single" w:color="auto" w:sz="4" w:space="0"/>
            </w:tcBorders>
            <w:vAlign w:val="center"/>
          </w:tcPr>
          <w:p w14:paraId="6ED78ED0">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宋体" w:hAnsi="宋体" w:eastAsia="宋体" w:cs="仿宋_GB2312"/>
                <w:sz w:val="21"/>
                <w:szCs w:val="21"/>
                <w:lang w:val="en-US" w:eastAsia="zh-CN"/>
              </w:rPr>
            </w:pPr>
            <w:r>
              <w:rPr>
                <w:rFonts w:hint="eastAsia" w:ascii="宋体" w:hAnsi="宋体" w:eastAsia="宋体" w:cs="仿宋_GB2312"/>
                <w:sz w:val="21"/>
                <w:szCs w:val="21"/>
                <w:lang w:val="en-US" w:eastAsia="zh-CN"/>
              </w:rPr>
              <w:t>广西壮族自治区亚热带作物研究所</w:t>
            </w:r>
          </w:p>
        </w:tc>
        <w:tc>
          <w:tcPr>
            <w:tcW w:w="1851" w:type="pct"/>
            <w:tcBorders>
              <w:top w:val="single" w:color="auto" w:sz="4" w:space="0"/>
              <w:bottom w:val="single" w:color="auto" w:sz="4" w:space="0"/>
              <w:right w:val="single" w:color="auto" w:sz="4" w:space="0"/>
            </w:tcBorders>
            <w:vAlign w:val="center"/>
          </w:tcPr>
          <w:p w14:paraId="5E8EBAF2">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宋体" w:hAnsi="宋体" w:eastAsia="宋体" w:cs="仿宋_GB2312"/>
                <w:sz w:val="21"/>
                <w:szCs w:val="21"/>
                <w:lang w:val="en-US" w:eastAsia="zh-CN"/>
              </w:rPr>
            </w:pPr>
            <w:r>
              <w:rPr>
                <w:rFonts w:hint="eastAsia" w:ascii="宋体" w:hAnsi="宋体" w:eastAsia="宋体" w:cs="仿宋_GB2312"/>
                <w:sz w:val="21"/>
                <w:szCs w:val="21"/>
                <w:lang w:val="en-US" w:eastAsia="zh-CN"/>
              </w:rPr>
              <w:t>参与标准文本及编制说明的编写；组织开展标准征求意见会；对标准实施情况进行总结分析，不断对地方标准提出修正意见。</w:t>
            </w:r>
          </w:p>
        </w:tc>
      </w:tr>
      <w:tr w14:paraId="40DF16A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5" w:type="pct"/>
            <w:tcBorders>
              <w:top w:val="single" w:color="auto" w:sz="4" w:space="0"/>
              <w:left w:val="single" w:color="auto" w:sz="4" w:space="0"/>
              <w:bottom w:val="single" w:color="auto" w:sz="4" w:space="0"/>
            </w:tcBorders>
            <w:vAlign w:val="center"/>
          </w:tcPr>
          <w:p w14:paraId="2B2CBFB7">
            <w:pPr>
              <w:keepNext w:val="0"/>
              <w:keepLines w:val="0"/>
              <w:widowControl/>
              <w:suppressLineNumbers w:val="0"/>
              <w:ind w:left="0" w:leftChars="0" w:firstLine="0" w:firstLineChars="0"/>
              <w:jc w:val="center"/>
              <w:textAlignment w:val="center"/>
              <w:rPr>
                <w:rFonts w:hint="eastAsia" w:ascii="宋体" w:hAnsi="宋体" w:eastAsia="宋体" w:cs="仿宋_GB2312"/>
                <w:sz w:val="21"/>
                <w:szCs w:val="21"/>
                <w:lang w:val="en-US" w:eastAsia="zh-CN"/>
              </w:rPr>
            </w:pPr>
            <w:r>
              <w:rPr>
                <w:rFonts w:hint="eastAsia" w:ascii="宋体" w:hAnsi="宋体" w:eastAsia="宋体" w:cs="仿宋_GB2312"/>
                <w:sz w:val="21"/>
                <w:szCs w:val="21"/>
                <w:lang w:val="en-US" w:eastAsia="zh-CN"/>
              </w:rPr>
              <w:t>蒋宏</w:t>
            </w:r>
          </w:p>
        </w:tc>
        <w:tc>
          <w:tcPr>
            <w:tcW w:w="1371" w:type="dxa"/>
            <w:tcBorders>
              <w:top w:val="single" w:color="auto" w:sz="4" w:space="0"/>
              <w:bottom w:val="single" w:color="auto" w:sz="4" w:space="0"/>
            </w:tcBorders>
            <w:vAlign w:val="center"/>
          </w:tcPr>
          <w:p w14:paraId="6EC3A1F9">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宋体" w:hAnsi="宋体" w:eastAsia="宋体" w:cs="仿宋_GB2312"/>
                <w:sz w:val="21"/>
                <w:szCs w:val="21"/>
                <w:lang w:val="en-US" w:eastAsia="zh-CN"/>
              </w:rPr>
            </w:pPr>
            <w:r>
              <w:rPr>
                <w:rFonts w:hint="eastAsia" w:ascii="宋体" w:hAnsi="宋体" w:eastAsia="宋体" w:cs="仿宋_GB2312"/>
                <w:sz w:val="21"/>
                <w:szCs w:val="21"/>
                <w:lang w:val="en-US" w:eastAsia="zh-CN"/>
              </w:rPr>
              <w:t>专业技术人员/助理农艺师</w:t>
            </w:r>
          </w:p>
        </w:tc>
        <w:tc>
          <w:tcPr>
            <w:tcW w:w="1329" w:type="dxa"/>
            <w:tcBorders>
              <w:top w:val="single" w:color="auto" w:sz="4" w:space="0"/>
              <w:bottom w:val="single" w:color="auto" w:sz="4" w:space="0"/>
            </w:tcBorders>
            <w:vAlign w:val="center"/>
          </w:tcPr>
          <w:p w14:paraId="6229CD22">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宋体" w:hAnsi="宋体" w:eastAsia="宋体" w:cs="仿宋_GB2312"/>
                <w:sz w:val="21"/>
                <w:szCs w:val="21"/>
                <w:lang w:val="en-US" w:eastAsia="zh-CN"/>
              </w:rPr>
            </w:pPr>
            <w:r>
              <w:rPr>
                <w:rFonts w:hint="eastAsia" w:ascii="宋体" w:hAnsi="宋体" w:eastAsia="宋体" w:cs="仿宋_GB2312"/>
                <w:sz w:val="21"/>
                <w:szCs w:val="21"/>
                <w:lang w:val="en-US" w:eastAsia="zh-CN"/>
              </w:rPr>
              <w:t>科普基地管理与建设研究</w:t>
            </w:r>
          </w:p>
        </w:tc>
        <w:tc>
          <w:tcPr>
            <w:tcW w:w="1929" w:type="dxa"/>
            <w:tcBorders>
              <w:top w:val="single" w:color="auto" w:sz="4" w:space="0"/>
              <w:bottom w:val="single" w:color="auto" w:sz="4" w:space="0"/>
            </w:tcBorders>
            <w:vAlign w:val="center"/>
          </w:tcPr>
          <w:p w14:paraId="78AF7EF8">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宋体" w:hAnsi="宋体" w:eastAsia="宋体" w:cs="仿宋_GB2312"/>
                <w:sz w:val="21"/>
                <w:szCs w:val="21"/>
                <w:lang w:val="en-US" w:eastAsia="zh-CN"/>
              </w:rPr>
            </w:pPr>
            <w:r>
              <w:rPr>
                <w:rFonts w:hint="eastAsia" w:ascii="宋体" w:hAnsi="宋体" w:eastAsia="宋体" w:cs="仿宋_GB2312"/>
                <w:sz w:val="21"/>
                <w:szCs w:val="21"/>
                <w:lang w:val="en-US" w:eastAsia="zh-CN"/>
              </w:rPr>
              <w:t>广西壮族自治区亚热带作物研究所</w:t>
            </w:r>
          </w:p>
        </w:tc>
        <w:tc>
          <w:tcPr>
            <w:tcW w:w="1851" w:type="pct"/>
            <w:tcBorders>
              <w:top w:val="single" w:color="auto" w:sz="4" w:space="0"/>
              <w:bottom w:val="single" w:color="auto" w:sz="4" w:space="0"/>
              <w:right w:val="single" w:color="auto" w:sz="4" w:space="0"/>
            </w:tcBorders>
            <w:vAlign w:val="center"/>
          </w:tcPr>
          <w:p w14:paraId="7FA6E654">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宋体" w:hAnsi="宋体" w:eastAsia="宋体" w:cs="仿宋_GB2312"/>
                <w:sz w:val="21"/>
                <w:szCs w:val="21"/>
                <w:lang w:val="en-US" w:eastAsia="zh-CN"/>
              </w:rPr>
            </w:pPr>
            <w:r>
              <w:rPr>
                <w:rFonts w:hint="eastAsia" w:ascii="宋体" w:hAnsi="宋体" w:eastAsia="宋体" w:cs="仿宋_GB2312"/>
                <w:sz w:val="21"/>
                <w:szCs w:val="21"/>
                <w:lang w:val="en-US" w:eastAsia="zh-CN"/>
              </w:rPr>
              <w:t>参与标准文本及编制说明的编写；组织开展标准征求意见会；对标准实施情况进行总结分析，不断对地方标准提出修正意见。</w:t>
            </w:r>
          </w:p>
        </w:tc>
      </w:tr>
    </w:tbl>
    <w:p w14:paraId="0F69AE8B">
      <w:pPr>
        <w:autoSpaceDE w:val="0"/>
        <w:autoSpaceDN w:val="0"/>
        <w:adjustRightInd w:val="0"/>
        <w:spacing w:before="156" w:beforeLines="50" w:after="156" w:afterLines="50" w:line="560" w:lineRule="exact"/>
        <w:ind w:firstLine="640"/>
        <w:jc w:val="left"/>
        <w:outlineLvl w:val="0"/>
        <w:rPr>
          <w:rFonts w:hint="eastAsia" w:ascii="黑体" w:hAnsi="黑体" w:eastAsia="黑体" w:cs="仿宋_GB2312"/>
          <w:szCs w:val="32"/>
        </w:rPr>
      </w:pPr>
      <w:r>
        <w:rPr>
          <w:rFonts w:hint="eastAsia" w:ascii="黑体" w:hAnsi="黑体" w:eastAsia="黑体" w:cs="仿宋_GB2312"/>
          <w:szCs w:val="32"/>
        </w:rPr>
        <w:t>二、制定标准的必要性和意义</w:t>
      </w:r>
    </w:p>
    <w:p w14:paraId="6E9E5416">
      <w:pPr>
        <w:spacing w:line="560" w:lineRule="exact"/>
        <w:ind w:firstLine="640"/>
        <w:rPr>
          <w:rFonts w:hint="eastAsia" w:ascii="Times New Roman" w:hAnsi="Times New Roman" w:cs="Times New Roman"/>
          <w:color w:val="auto"/>
          <w:sz w:val="32"/>
          <w:szCs w:val="32"/>
          <w:highlight w:val="none"/>
          <w:lang w:val="en-US" w:eastAsia="zh-CN"/>
        </w:rPr>
      </w:pPr>
      <w:r>
        <w:rPr>
          <w:rFonts w:hint="default" w:ascii="Times New Roman" w:hAnsi="Times New Roman" w:eastAsia="仿宋_GB2312" w:cs="Times New Roman"/>
          <w:color w:val="auto"/>
          <w:sz w:val="32"/>
          <w:szCs w:val="32"/>
          <w:highlight w:val="none"/>
          <w:lang w:val="en-US" w:eastAsia="zh-CN"/>
        </w:rPr>
        <w:t>习近平总书记</w:t>
      </w:r>
      <w:r>
        <w:rPr>
          <w:rFonts w:hint="eastAsia" w:cs="Times New Roman"/>
          <w:color w:val="auto"/>
          <w:sz w:val="32"/>
          <w:szCs w:val="32"/>
          <w:highlight w:val="none"/>
          <w:lang w:val="en-US" w:eastAsia="zh-CN"/>
        </w:rPr>
        <w:t>明确</w:t>
      </w:r>
      <w:r>
        <w:rPr>
          <w:rFonts w:hint="default" w:ascii="Times New Roman" w:hAnsi="Times New Roman" w:eastAsia="仿宋_GB2312" w:cs="Times New Roman"/>
          <w:color w:val="auto"/>
          <w:sz w:val="32"/>
          <w:szCs w:val="32"/>
          <w:highlight w:val="none"/>
          <w:lang w:val="en-US" w:eastAsia="zh-CN"/>
        </w:rPr>
        <w:t>指出：</w:t>
      </w:r>
      <w:r>
        <w:rPr>
          <w:rFonts w:hint="eastAsia" w:ascii="Times New Roman" w:hAnsi="Times New Roman" w:eastAsia="仿宋_GB2312" w:cs="Times New Roman"/>
          <w:color w:val="auto"/>
          <w:sz w:val="32"/>
          <w:szCs w:val="32"/>
          <w:highlight w:val="none"/>
          <w:lang w:val="en-US" w:eastAsia="zh-CN"/>
        </w:rPr>
        <w:t>“</w:t>
      </w:r>
      <w:r>
        <w:rPr>
          <w:rFonts w:hint="default" w:ascii="Times New Roman" w:hAnsi="Times New Roman" w:eastAsia="仿宋_GB2312" w:cs="Times New Roman"/>
          <w:color w:val="auto"/>
          <w:sz w:val="32"/>
          <w:szCs w:val="32"/>
          <w:highlight w:val="none"/>
          <w:lang w:val="en-US" w:eastAsia="zh-CN"/>
        </w:rPr>
        <w:t>科技创新、科学普及是实现创新发展的两翼，要把科学普及放在与科技创新同等重要的位置。没有全民科学素质普遍提高，就难以建立起宏大的高素质创新大军，难以实现科技成果快速转化。</w:t>
      </w:r>
      <w:r>
        <w:rPr>
          <w:rFonts w:hint="eastAsia" w:ascii="Times New Roman" w:hAnsi="Times New Roman" w:eastAsia="仿宋_GB2312" w:cs="Times New Roman"/>
          <w:color w:val="auto"/>
          <w:sz w:val="32"/>
          <w:szCs w:val="32"/>
          <w:highlight w:val="none"/>
          <w:lang w:val="en-US" w:eastAsia="zh-CN"/>
        </w:rPr>
        <w:t>”</w:t>
      </w:r>
      <w:r>
        <w:rPr>
          <w:rFonts w:hint="eastAsia" w:ascii="Times New Roman" w:hAnsi="Times New Roman" w:cs="Times New Roman"/>
          <w:color w:val="auto"/>
          <w:sz w:val="32"/>
          <w:szCs w:val="32"/>
          <w:highlight w:val="none"/>
          <w:lang w:val="en-US" w:eastAsia="zh-CN"/>
        </w:rPr>
        <w:t>青少年作为国家未来科技人才的储备力量，其科学素养的培育直接关系到农业科技自立自强的长远根基。</w:t>
      </w:r>
    </w:p>
    <w:p w14:paraId="744DC2A3">
      <w:pPr>
        <w:spacing w:line="560" w:lineRule="exact"/>
        <w:ind w:firstLine="640"/>
        <w:rPr>
          <w:rFonts w:hint="eastAsia" w:ascii="仿宋_GB2312" w:hAnsi="宋体"/>
          <w:szCs w:val="28"/>
        </w:rPr>
      </w:pPr>
      <w:r>
        <w:rPr>
          <w:rFonts w:hint="eastAsia" w:ascii="Times New Roman" w:hAnsi="Times New Roman" w:cs="Times New Roman"/>
          <w:color w:val="auto"/>
          <w:sz w:val="32"/>
          <w:szCs w:val="32"/>
          <w:highlight w:val="none"/>
          <w:lang w:val="en-US" w:eastAsia="zh-CN"/>
        </w:rPr>
        <w:t>近年来，科普研学作为一种融合教育、文化与体验的活动形式，受到国家和社会的高度重视</w:t>
      </w:r>
      <w:r>
        <w:rPr>
          <w:rFonts w:hint="eastAsia" w:ascii="仿宋_GB2312" w:hAnsi="仿宋_GB2312" w:eastAsia="仿宋_GB2312" w:cs="仿宋_GB2312"/>
          <w:color w:val="000000"/>
          <w:kern w:val="0"/>
          <w:sz w:val="32"/>
          <w:szCs w:val="32"/>
          <w:lang w:val="en-US" w:eastAsia="zh-CN" w:bidi="ar"/>
        </w:rPr>
        <w:t>。中共中央、国务院印发的《加快建设农业强国规划（2024—2035年）》明确提出，要“推动农业与旅游、教育、康养等产业深度融合”，加快构建“农文旅融合的现代乡村产业体系”</w:t>
      </w:r>
      <w:r>
        <w:rPr>
          <w:rFonts w:hint="eastAsia" w:ascii="仿宋_GB2312" w:hAnsi="仿宋_GB2312" w:cs="仿宋_GB2312"/>
          <w:color w:val="000000"/>
          <w:kern w:val="0"/>
          <w:sz w:val="32"/>
          <w:szCs w:val="32"/>
          <w:lang w:val="en-US" w:eastAsia="zh-CN" w:bidi="ar"/>
        </w:rPr>
        <w:t>，为农业科普研学的发展提供了战略指引</w:t>
      </w:r>
      <w:r>
        <w:rPr>
          <w:rFonts w:hint="eastAsia" w:ascii="仿宋_GB2312" w:hAnsi="仿宋_GB2312" w:eastAsia="仿宋_GB2312" w:cs="仿宋_GB2312"/>
          <w:color w:val="000000"/>
          <w:kern w:val="0"/>
          <w:sz w:val="32"/>
          <w:szCs w:val="32"/>
          <w:lang w:val="en-US" w:eastAsia="zh-CN" w:bidi="ar"/>
        </w:rPr>
        <w:t>。农业农村部等十部门联合印发的《促进农产品消费实施方案》也强调，需“开发农事体验、手工制作、科普研学等项目”，以深化农文旅融合，拓展消费新空间与教育新场景。同时，新修订的《中华人民共和国科学技术普及法》从法律层面明确要求“国家加强农村科普工作”，“完善科普场馆和科普基地建设布局，扩大科普设施覆盖面，促进城乡科普设施均衡发展”，这为农业科普资源的公平可及与质量提升提供了法律依据。此外，文化和旅游部办公厅专门发布了《关于促进旅行社研学旅游业务健康发展的通知》</w:t>
      </w:r>
      <w:r>
        <w:rPr>
          <w:rFonts w:hint="eastAsia" w:ascii="仿宋_GB2312" w:hAnsi="仿宋_GB2312" w:cs="仿宋_GB2312"/>
          <w:color w:val="000000"/>
          <w:kern w:val="0"/>
          <w:sz w:val="32"/>
          <w:szCs w:val="32"/>
          <w:lang w:val="en-US" w:eastAsia="zh-CN" w:bidi="ar"/>
        </w:rPr>
        <w:t>提出</w:t>
      </w:r>
      <w:r>
        <w:rPr>
          <w:rFonts w:hint="eastAsia" w:ascii="仿宋_GB2312" w:hAnsi="仿宋_GB2312" w:eastAsia="仿宋_GB2312" w:cs="仿宋_GB2312"/>
          <w:color w:val="000000"/>
          <w:kern w:val="0"/>
          <w:sz w:val="32"/>
          <w:szCs w:val="32"/>
          <w:lang w:val="en-US" w:eastAsia="zh-CN" w:bidi="ar"/>
        </w:rPr>
        <w:t>“发挥研学旅游标准引领作用”，并鼓励行业组织制定相关质量标准。教育部等部门在相关答复中也明确指出，需“强化劳动教育和科学教育，持续开展中小学生研学实践教育活动”。在这一系列顶层设计与政策的推动下，农业科普研学课程作为连接现代农业知识与青少年认知、传承农耕文明与激发科学兴趣的重要载体，</w:t>
      </w:r>
      <w:r>
        <w:rPr>
          <w:rFonts w:hint="eastAsia" w:ascii="仿宋_GB2312" w:hAnsi="宋体"/>
          <w:szCs w:val="28"/>
        </w:rPr>
        <w:t>亟需建立科学、规范的教学质量评价</w:t>
      </w:r>
      <w:r>
        <w:rPr>
          <w:rFonts w:hint="eastAsia" w:ascii="仿宋_GB2312" w:hAnsi="宋体"/>
          <w:szCs w:val="28"/>
          <w:lang w:val="en-US" w:eastAsia="zh-CN"/>
        </w:rPr>
        <w:t>指南</w:t>
      </w:r>
      <w:r>
        <w:rPr>
          <w:rFonts w:hint="eastAsia" w:ascii="仿宋_GB2312" w:hAnsi="宋体"/>
          <w:szCs w:val="28"/>
        </w:rPr>
        <w:t>，以保障其教育目标的实现。</w:t>
      </w:r>
    </w:p>
    <w:p w14:paraId="6B23D223">
      <w:pPr>
        <w:spacing w:line="560" w:lineRule="exact"/>
        <w:ind w:firstLine="640"/>
        <w:rPr>
          <w:rFonts w:hint="eastAsia" w:ascii="仿宋_GB2312" w:hAnsi="仿宋_GB2312" w:cs="仿宋_GB2312"/>
          <w:color w:val="000000"/>
          <w:kern w:val="0"/>
          <w:sz w:val="32"/>
          <w:szCs w:val="32"/>
          <w:lang w:val="en-US" w:eastAsia="zh-CN" w:bidi="ar"/>
        </w:rPr>
      </w:pPr>
      <w:r>
        <w:rPr>
          <w:rFonts w:hint="eastAsia" w:ascii="仿宋_GB2312" w:hAnsi="仿宋_GB2312" w:eastAsia="仿宋_GB2312" w:cs="仿宋_GB2312"/>
          <w:color w:val="000000"/>
          <w:kern w:val="0"/>
          <w:sz w:val="32"/>
          <w:szCs w:val="32"/>
          <w:lang w:val="en-US" w:eastAsia="zh-CN" w:bidi="ar"/>
        </w:rPr>
        <w:t>从市场需求与行业现状来看，农业科普研学课程的受欢迎程度持续攀升。据《2024-2025年中国研学游经济市场运行监测报告》</w:t>
      </w:r>
      <w:r>
        <w:rPr>
          <w:rFonts w:hint="eastAsia" w:ascii="仿宋_GB2312" w:hAnsi="仿宋_GB2312" w:cs="仿宋_GB2312"/>
          <w:color w:val="000000"/>
          <w:kern w:val="0"/>
          <w:sz w:val="32"/>
          <w:szCs w:val="32"/>
          <w:lang w:val="en-US" w:eastAsia="zh-CN" w:bidi="ar"/>
        </w:rPr>
        <w:t>显示，66.4%的受访用户明确表示“非常愿意”让孩子参与研学课程，其中28.7%的消费者认为研学课程能有效“开阔视野，体验多元文化”。而农业科普研学因贴近自然、注重实践的独特属性，更成为亲子家庭与中小学的重要选择。然而，当前行业发展存在明显短板：尽管部分地区已针对通用研学课程建立评价体系，但在农业科普这一细分领域，尚未形成专门的评价指南。农业科普研学课程具有极强的行业特殊性，其内容涵盖农业知识传授（如作物生长规律、现代农业技术）、农事操作实践（如播种、施肥、采摘）、农耕文化传承（如农谚、传统农具使用）、农业安全管理（如农具操作安全、动植物接触防护）等多方面，通用研学评价标准难以覆盖其专业需求，更无法精准衡量课程的农业属性与科学内涵。</w:t>
      </w:r>
    </w:p>
    <w:p w14:paraId="7740CE4A">
      <w:pPr>
        <w:spacing w:line="560" w:lineRule="exact"/>
        <w:ind w:firstLine="640"/>
        <w:rPr>
          <w:rFonts w:hint="eastAsia" w:ascii="仿宋_GB2312" w:hAnsi="宋体"/>
          <w:szCs w:val="28"/>
        </w:rPr>
      </w:pPr>
      <w:r>
        <w:rPr>
          <w:rFonts w:hint="eastAsia" w:ascii="仿宋_GB2312" w:hAnsi="宋体"/>
          <w:szCs w:val="28"/>
        </w:rPr>
        <w:t>缺乏专业评价机制</w:t>
      </w:r>
      <w:r>
        <w:rPr>
          <w:rFonts w:hint="eastAsia" w:ascii="仿宋_GB2312" w:hAnsi="宋体"/>
          <w:szCs w:val="28"/>
          <w:lang w:val="en-US" w:eastAsia="zh-CN"/>
        </w:rPr>
        <w:t>容易</w:t>
      </w:r>
      <w:r>
        <w:rPr>
          <w:rFonts w:hint="eastAsia" w:ascii="仿宋_GB2312" w:hAnsi="宋体"/>
          <w:szCs w:val="28"/>
        </w:rPr>
        <w:t>引发一系列行业问题：部分课程存在“目标模糊”，仅以“农业”为噱头，未明确知识传递与能力培养重点；“内容空洞”，简单堆砌农业元素，未结合现代农业科技发展与地域农业特色；“实践性不足”，沦为“走马观花”的参观活动，学生动手操作与探究体验时间匮乏；“安全管理缺位”，对</w:t>
      </w:r>
      <w:r>
        <w:rPr>
          <w:rFonts w:hint="eastAsia" w:ascii="仿宋_GB2312" w:hAnsi="宋体"/>
          <w:szCs w:val="28"/>
          <w:lang w:val="en-US" w:eastAsia="zh-CN"/>
        </w:rPr>
        <w:t>潜在</w:t>
      </w:r>
      <w:r>
        <w:rPr>
          <w:rFonts w:hint="eastAsia" w:ascii="仿宋_GB2312" w:hAnsi="宋体"/>
          <w:szCs w:val="28"/>
        </w:rPr>
        <w:t>风险（如农药残留接触、农机使用隐患）未建立针对性防控措施，这些问题不仅背离了研学教育的初衷，更可能影响学生的学习体验与身心健康，制约行业的可持续发展。</w:t>
      </w:r>
    </w:p>
    <w:p w14:paraId="627CC203">
      <w:pPr>
        <w:spacing w:line="560" w:lineRule="exact"/>
        <w:ind w:firstLine="640"/>
        <w:rPr>
          <w:rFonts w:hint="eastAsia" w:ascii="仿宋_GB2312" w:hAnsi="宋体"/>
          <w:szCs w:val="28"/>
        </w:rPr>
      </w:pPr>
      <w:r>
        <w:rPr>
          <w:rFonts w:hint="eastAsia" w:ascii="仿宋_GB2312" w:hAnsi="宋体"/>
          <w:szCs w:val="28"/>
        </w:rPr>
        <w:t>因此，</w:t>
      </w:r>
      <w:r>
        <w:rPr>
          <w:rFonts w:hint="eastAsia" w:ascii="仿宋_GB2312" w:hAnsi="宋体"/>
          <w:szCs w:val="28"/>
          <w:lang w:val="en-US" w:eastAsia="zh-CN"/>
        </w:rPr>
        <w:t>通过</w:t>
      </w:r>
      <w:r>
        <w:rPr>
          <w:rFonts w:hint="eastAsia" w:ascii="仿宋_GB2312" w:hAnsi="宋体"/>
          <w:szCs w:val="28"/>
        </w:rPr>
        <w:t>制定</w:t>
      </w:r>
      <w:r>
        <w:rPr>
          <w:rFonts w:hint="eastAsia" w:ascii="仿宋_GB2312" w:hAnsi="宋体"/>
          <w:szCs w:val="28"/>
          <w:lang w:val="en-US" w:eastAsia="zh-CN"/>
        </w:rPr>
        <w:t>团体标准</w:t>
      </w:r>
      <w:r>
        <w:rPr>
          <w:rFonts w:hint="eastAsia" w:ascii="仿宋_GB2312" w:hAnsi="宋体"/>
          <w:szCs w:val="28"/>
          <w:lang w:eastAsia="zh-CN"/>
        </w:rPr>
        <w:t>《农业科普研学课程设计评价规范》</w:t>
      </w:r>
      <w:r>
        <w:rPr>
          <w:rFonts w:hint="eastAsia" w:ascii="仿宋_GB2312" w:hAnsi="宋体"/>
          <w:szCs w:val="28"/>
        </w:rPr>
        <w:t>具有多重深远意义。其核心意义在于为</w:t>
      </w:r>
      <w:r>
        <w:rPr>
          <w:rFonts w:hint="eastAsia" w:ascii="仿宋_GB2312" w:hAnsi="宋体"/>
          <w:szCs w:val="28"/>
          <w:lang w:eastAsia="zh-CN"/>
        </w:rPr>
        <w:t>农业科普研学课程设计评价</w:t>
      </w:r>
      <w:r>
        <w:rPr>
          <w:rFonts w:hint="eastAsia" w:ascii="仿宋_GB2312" w:hAnsi="宋体"/>
          <w:szCs w:val="28"/>
        </w:rPr>
        <w:t>提供了一套科学、系统且专业的衡量标尺</w:t>
      </w:r>
      <w:r>
        <w:rPr>
          <w:rFonts w:hint="eastAsia" w:ascii="仿宋_GB2312" w:hAnsi="宋体"/>
          <w:szCs w:val="28"/>
          <w:lang w:val="en-US" w:eastAsia="zh-CN"/>
        </w:rPr>
        <w:t>与指南</w:t>
      </w:r>
      <w:r>
        <w:rPr>
          <w:rFonts w:hint="eastAsia" w:ascii="仿宋_GB2312" w:hAnsi="宋体"/>
          <w:szCs w:val="28"/>
        </w:rPr>
        <w:t>，通过明确</w:t>
      </w:r>
      <w:r>
        <w:rPr>
          <w:rFonts w:hint="eastAsia"/>
        </w:rPr>
        <w:t>评价内容、</w:t>
      </w:r>
      <w:r>
        <w:rPr>
          <w:rFonts w:hint="eastAsia"/>
          <w:lang w:eastAsia="zh-CN"/>
        </w:rPr>
        <w:t>评价方法</w:t>
      </w:r>
      <w:r>
        <w:rPr>
          <w:rFonts w:hint="eastAsia"/>
        </w:rPr>
        <w:t>、</w:t>
      </w:r>
      <w:r>
        <w:rPr>
          <w:rFonts w:hint="eastAsia"/>
          <w:lang w:eastAsia="zh-CN"/>
        </w:rPr>
        <w:t>评价流程及要求</w:t>
      </w:r>
      <w:r>
        <w:rPr>
          <w:rFonts w:hint="eastAsia" w:ascii="仿宋_GB2312" w:hAnsi="宋体"/>
          <w:szCs w:val="28"/>
        </w:rPr>
        <w:t>，能够有效引导和规范课程的设计与实施，确保其教育目标的达成</w:t>
      </w:r>
      <w:r>
        <w:rPr>
          <w:rFonts w:hint="eastAsia" w:ascii="仿宋_GB2312" w:hAnsi="宋体"/>
          <w:szCs w:val="28"/>
          <w:lang w:eastAsia="zh-CN"/>
        </w:rPr>
        <w:t>，</w:t>
      </w:r>
      <w:r>
        <w:rPr>
          <w:rFonts w:hint="eastAsia" w:ascii="仿宋_GB2312" w:hAnsi="宋体"/>
          <w:szCs w:val="28"/>
        </w:rPr>
        <w:t>保障课程的农业属性和科学内涵，促使教学内容紧跟现代农业科技发展，传承优秀农耕文化；通过突出实践性与探究性评价，推动学生动手能力和创新思维的培养；通过强化农业特殊安全管理要求，切实保障学生在农事实践中的身心健康。从更宏观的层面看，本标准的实施将有助于培育一批高质量的农业科普研学课程，激发青少年对农业科学的兴趣，为乡村振兴战略储备未来人才，并能为行业主管部门提供监管抓手与决策支持，从而整体推动我国农业科普教育事业迈向标准化、专业化的高质量发展新阶段。</w:t>
      </w:r>
    </w:p>
    <w:p w14:paraId="41E452FD">
      <w:pPr>
        <w:spacing w:line="560" w:lineRule="exact"/>
        <w:ind w:firstLine="640"/>
        <w:rPr>
          <w:rFonts w:hint="eastAsia" w:ascii="仿宋_GB2312" w:hAnsi="宋体"/>
          <w:szCs w:val="28"/>
        </w:rPr>
      </w:pPr>
      <w:r>
        <w:rPr>
          <w:rFonts w:hint="eastAsia" w:ascii="仿宋_GB2312" w:hAnsi="宋体"/>
          <w:szCs w:val="28"/>
        </w:rPr>
        <w:t>综上所述，制定《</w:t>
      </w:r>
      <w:r>
        <w:rPr>
          <w:rFonts w:hint="eastAsia" w:ascii="仿宋_GB2312" w:hAnsi="宋体"/>
          <w:szCs w:val="28"/>
          <w:lang w:eastAsia="zh-CN"/>
        </w:rPr>
        <w:t>农业科普研学课程设计评价规范</w:t>
      </w:r>
      <w:r>
        <w:rPr>
          <w:rFonts w:hint="eastAsia" w:ascii="仿宋_GB2312" w:hAnsi="宋体"/>
          <w:szCs w:val="28"/>
        </w:rPr>
        <w:t>》团体标准，是落实国家科普与教育政策、回应行业发展需求、保障农业科普研学育人效果的重要举措，对推动我国农业科普教育走向标准化、专业化、高质量发展具有积极而深远的意义。</w:t>
      </w:r>
    </w:p>
    <w:p w14:paraId="017EBDF9">
      <w:pPr>
        <w:autoSpaceDE w:val="0"/>
        <w:autoSpaceDN w:val="0"/>
        <w:adjustRightInd w:val="0"/>
        <w:spacing w:before="156" w:beforeLines="50" w:after="156" w:afterLines="50" w:line="560" w:lineRule="exact"/>
        <w:ind w:firstLine="640"/>
        <w:jc w:val="left"/>
        <w:outlineLvl w:val="0"/>
        <w:rPr>
          <w:rFonts w:hint="eastAsia" w:ascii="黑体" w:hAnsi="黑体" w:eastAsia="黑体" w:cs="仿宋_GB2312"/>
          <w:szCs w:val="32"/>
        </w:rPr>
      </w:pPr>
      <w:r>
        <w:rPr>
          <w:rFonts w:hint="eastAsia" w:ascii="黑体" w:hAnsi="黑体" w:eastAsia="黑体" w:cs="仿宋_GB2312"/>
          <w:szCs w:val="32"/>
        </w:rPr>
        <w:t>三、主要起草过程</w:t>
      </w:r>
    </w:p>
    <w:p w14:paraId="764AB22D">
      <w:pPr>
        <w:spacing w:before="156" w:beforeLines="50" w:after="156" w:afterLines="50" w:line="560" w:lineRule="exact"/>
        <w:ind w:firstLine="643"/>
        <w:outlineLvl w:val="1"/>
        <w:rPr>
          <w:rFonts w:hint="eastAsia" w:ascii="楷体" w:hAnsi="楷体" w:eastAsia="楷体"/>
          <w:szCs w:val="28"/>
        </w:rPr>
      </w:pPr>
      <w:r>
        <w:rPr>
          <w:rFonts w:hint="eastAsia" w:ascii="楷体" w:hAnsi="楷体" w:eastAsia="楷体" w:cs="仿宋_GB2312"/>
          <w:b/>
          <w:szCs w:val="28"/>
        </w:rPr>
        <w:t>（一）成立标准编制组</w:t>
      </w:r>
    </w:p>
    <w:p w14:paraId="2AA25572">
      <w:pPr>
        <w:spacing w:line="560" w:lineRule="exact"/>
        <w:ind w:firstLine="640"/>
        <w:rPr>
          <w:rFonts w:ascii="仿宋_GB2312"/>
          <w:szCs w:val="32"/>
        </w:rPr>
      </w:pPr>
      <w:r>
        <w:rPr>
          <w:rFonts w:hint="eastAsia" w:ascii="仿宋_GB2312"/>
          <w:szCs w:val="32"/>
        </w:rPr>
        <w:t>团体标准《</w:t>
      </w:r>
      <w:r>
        <w:rPr>
          <w:rFonts w:hint="eastAsia" w:ascii="仿宋_GB2312"/>
          <w:szCs w:val="32"/>
          <w:lang w:eastAsia="zh-CN"/>
        </w:rPr>
        <w:t>农业科普研学课程设计评价规范</w:t>
      </w:r>
      <w:r>
        <w:rPr>
          <w:rFonts w:hint="eastAsia" w:ascii="仿宋_GB2312"/>
          <w:szCs w:val="32"/>
        </w:rPr>
        <w:t>》项目任务下达后，广西壮族自治区农业科学院成立了标准编制组，起草单位制定了起草编写方案与进度安排，明确任务职责，确定工作技术路线，开展标准研制工作。具体标准编制工作由广西壮族自治区亚热带作物研究所、广西标准化协会、农业农村部科技发展中心</w:t>
      </w:r>
      <w:r>
        <w:rPr>
          <w:rFonts w:hint="eastAsia"/>
        </w:rPr>
        <w:t>、</w:t>
      </w:r>
      <w:r>
        <w:rPr>
          <w:rFonts w:hint="eastAsia" w:ascii="仿宋_GB2312"/>
          <w:szCs w:val="32"/>
        </w:rPr>
        <w:t>云南省热带作物科学研究等单位负责人组成的标准编制组完成。</w:t>
      </w:r>
    </w:p>
    <w:p w14:paraId="30B4C76A">
      <w:pPr>
        <w:spacing w:line="560" w:lineRule="exact"/>
        <w:ind w:firstLine="640"/>
        <w:rPr>
          <w:rFonts w:ascii="仿宋_GB2312"/>
          <w:szCs w:val="32"/>
        </w:rPr>
      </w:pPr>
      <w:r>
        <w:rPr>
          <w:rFonts w:hint="eastAsia" w:ascii="仿宋_GB2312"/>
          <w:szCs w:val="32"/>
        </w:rPr>
        <w:t>编制工作组下设三个组，分别是资料收集组、草案编写组、标准实施组。</w:t>
      </w:r>
    </w:p>
    <w:p w14:paraId="2252EE8C">
      <w:pPr>
        <w:spacing w:line="560" w:lineRule="exact"/>
        <w:ind w:firstLine="640"/>
        <w:rPr>
          <w:rFonts w:ascii="仿宋_GB2312"/>
          <w:szCs w:val="32"/>
        </w:rPr>
      </w:pPr>
      <w:r>
        <w:rPr>
          <w:rFonts w:hint="eastAsia" w:ascii="仿宋_GB2312"/>
          <w:szCs w:val="32"/>
        </w:rPr>
        <w:t>资料收集组负责国内有关</w:t>
      </w:r>
      <w:r>
        <w:rPr>
          <w:rFonts w:hint="eastAsia" w:ascii="仿宋_GB2312"/>
          <w:szCs w:val="32"/>
          <w:lang w:eastAsia="zh-CN"/>
        </w:rPr>
        <w:t>农业科普研学课程设计评价</w:t>
      </w:r>
      <w:r>
        <w:rPr>
          <w:rFonts w:hint="eastAsia" w:ascii="仿宋_GB2312"/>
          <w:szCs w:val="32"/>
        </w:rPr>
        <w:t>的文献资料的查询、收集和整理工作，查阅前人对</w:t>
      </w:r>
      <w:r>
        <w:rPr>
          <w:rFonts w:hint="eastAsia" w:ascii="仿宋_GB2312"/>
          <w:szCs w:val="32"/>
          <w:lang w:eastAsia="zh-CN"/>
        </w:rPr>
        <w:t>农业科普研学课程设计评价</w:t>
      </w:r>
      <w:r>
        <w:rPr>
          <w:rFonts w:hint="eastAsia" w:ascii="仿宋_GB2312"/>
          <w:szCs w:val="32"/>
        </w:rPr>
        <w:t>的研究情况。</w:t>
      </w:r>
    </w:p>
    <w:p w14:paraId="62963DCF">
      <w:pPr>
        <w:spacing w:line="560" w:lineRule="exact"/>
        <w:ind w:firstLine="640"/>
        <w:rPr>
          <w:rFonts w:hint="eastAsia" w:ascii="仿宋_GB2312" w:hAnsi="宋体"/>
          <w:szCs w:val="28"/>
        </w:rPr>
      </w:pPr>
      <w:r>
        <w:rPr>
          <w:rFonts w:hint="eastAsia" w:ascii="仿宋_GB2312" w:hAnsi="宋体"/>
          <w:szCs w:val="28"/>
        </w:rPr>
        <w:t>草案编写组负责起草标准草案、征求意见稿和标准编制说明、送审稿及编制说明的编写工作，包括后期召开征求意见会、网上征求意见，以及标准的不断修改和完善。</w:t>
      </w:r>
    </w:p>
    <w:p w14:paraId="38CE1CF2">
      <w:pPr>
        <w:spacing w:line="560" w:lineRule="exact"/>
        <w:ind w:firstLine="640"/>
        <w:rPr>
          <w:rFonts w:ascii="仿宋_GB2312" w:hAnsi="宋体"/>
          <w:szCs w:val="28"/>
        </w:rPr>
      </w:pPr>
      <w:r>
        <w:rPr>
          <w:rFonts w:hint="eastAsia" w:ascii="仿宋_GB2312" w:hAnsi="宋体"/>
          <w:szCs w:val="28"/>
        </w:rPr>
        <w:t>标准实施组负责团体标准</w:t>
      </w:r>
      <w:r>
        <w:rPr>
          <w:rFonts w:hint="eastAsia" w:ascii="仿宋_GB2312"/>
        </w:rPr>
        <w:t>《</w:t>
      </w:r>
      <w:r>
        <w:rPr>
          <w:rFonts w:hint="eastAsia" w:ascii="仿宋_GB2312"/>
          <w:lang w:eastAsia="zh-CN"/>
        </w:rPr>
        <w:t>农业科普研学课程设计评价规范</w:t>
      </w:r>
      <w:r>
        <w:rPr>
          <w:rFonts w:hint="eastAsia" w:ascii="仿宋_GB2312"/>
        </w:rPr>
        <w:t>》</w:t>
      </w:r>
      <w:r>
        <w:rPr>
          <w:rFonts w:hint="eastAsia" w:ascii="仿宋_GB2312" w:hAnsi="宋体"/>
          <w:szCs w:val="28"/>
        </w:rPr>
        <w:t>发布后，组织相关企事业单位开展标准宣贯培训会，对标准进行详细解读，让相关人员了解标准，并根据标准对</w:t>
      </w:r>
      <w:r>
        <w:rPr>
          <w:rFonts w:hint="eastAsia" w:ascii="仿宋_GB2312"/>
          <w:lang w:eastAsia="zh-CN"/>
        </w:rPr>
        <w:t>农业科普研学课程设计评价</w:t>
      </w:r>
      <w:r>
        <w:rPr>
          <w:rFonts w:hint="eastAsia" w:ascii="仿宋_GB2312" w:hAnsi="宋体"/>
          <w:szCs w:val="28"/>
        </w:rPr>
        <w:t>进行规范化操作，并对标准实施情况进行总结分析，不断对团体标准提出修正意见。</w:t>
      </w:r>
    </w:p>
    <w:p w14:paraId="56393539">
      <w:pPr>
        <w:spacing w:before="156" w:beforeLines="50" w:after="156" w:afterLines="50" w:line="560" w:lineRule="exact"/>
        <w:ind w:firstLine="643"/>
        <w:outlineLvl w:val="1"/>
        <w:rPr>
          <w:rFonts w:hint="eastAsia" w:ascii="楷体" w:hAnsi="楷体" w:eastAsia="楷体" w:cs="仿宋_GB2312"/>
          <w:b/>
          <w:szCs w:val="28"/>
        </w:rPr>
      </w:pPr>
      <w:r>
        <w:rPr>
          <w:rFonts w:hint="eastAsia" w:ascii="楷体" w:hAnsi="楷体" w:eastAsia="楷体" w:cs="仿宋_GB2312"/>
          <w:b/>
          <w:szCs w:val="28"/>
        </w:rPr>
        <w:t>（二）收集整理文献资料</w:t>
      </w:r>
    </w:p>
    <w:p w14:paraId="6BBBA638">
      <w:pPr>
        <w:spacing w:line="560" w:lineRule="exact"/>
        <w:ind w:firstLine="640"/>
        <w:rPr>
          <w:szCs w:val="28"/>
          <w:lang w:val="fr-FR"/>
        </w:rPr>
      </w:pPr>
      <w:r>
        <w:rPr>
          <w:szCs w:val="28"/>
        </w:rPr>
        <w:t>当前国内</w:t>
      </w:r>
      <w:r>
        <w:rPr>
          <w:rFonts w:hint="eastAsia"/>
          <w:szCs w:val="28"/>
          <w:lang w:eastAsia="zh-CN"/>
        </w:rPr>
        <w:t>农业科普研学课程设计评价</w:t>
      </w:r>
      <w:r>
        <w:rPr>
          <w:szCs w:val="28"/>
        </w:rPr>
        <w:t>领域尚未发布统一国家标准，标准编制组收集了国内有关</w:t>
      </w:r>
      <w:r>
        <w:rPr>
          <w:rFonts w:hint="eastAsia"/>
          <w:szCs w:val="28"/>
        </w:rPr>
        <w:t>“研学课程评价”“教学质量评价”的标准有</w:t>
      </w:r>
      <w:r>
        <w:rPr>
          <w:szCs w:val="28"/>
        </w:rPr>
        <w:t>相关文献资料。主要有</w:t>
      </w:r>
      <w:r>
        <w:rPr>
          <w:szCs w:val="28"/>
          <w:lang w:val="fr-FR"/>
        </w:rPr>
        <w:t>：</w:t>
      </w:r>
    </w:p>
    <w:p w14:paraId="793CEC48">
      <w:pPr>
        <w:spacing w:line="560" w:lineRule="exact"/>
        <w:ind w:firstLine="640"/>
        <w:rPr>
          <w:rFonts w:hint="eastAsia" w:ascii="Times New Roman" w:hAnsi="Times New Roman" w:cs="Times New Roman"/>
          <w:szCs w:val="28"/>
        </w:rPr>
      </w:pPr>
      <w:r>
        <w:rPr>
          <w:rFonts w:hint="eastAsia" w:ascii="Times New Roman" w:hAnsi="Times New Roman" w:cs="Times New Roman"/>
          <w:szCs w:val="28"/>
        </w:rPr>
        <w:t>[1]</w:t>
      </w:r>
      <w:r>
        <w:rPr>
          <w:rFonts w:hint="eastAsia" w:ascii="Times New Roman" w:hAnsi="Times New Roman" w:cs="Times New Roman"/>
          <w:szCs w:val="28"/>
          <w:lang w:val="en-US" w:eastAsia="zh-CN"/>
        </w:rPr>
        <w:t xml:space="preserve"> </w:t>
      </w:r>
      <w:r>
        <w:rPr>
          <w:rFonts w:hint="eastAsia" w:ascii="Times New Roman" w:hAnsi="Times New Roman" w:cs="Times New Roman"/>
          <w:szCs w:val="28"/>
        </w:rPr>
        <w:t xml:space="preserve"> GB/T 36642—2018 </w:t>
      </w:r>
      <w:r>
        <w:rPr>
          <w:rFonts w:hint="eastAsia" w:ascii="Times New Roman" w:hAnsi="Times New Roman" w:cs="Times New Roman"/>
          <w:szCs w:val="28"/>
          <w:lang w:val="en-US" w:eastAsia="zh-CN"/>
        </w:rPr>
        <w:t xml:space="preserve"> </w:t>
      </w:r>
      <w:r>
        <w:rPr>
          <w:rFonts w:hint="eastAsia" w:ascii="Times New Roman" w:hAnsi="Times New Roman" w:cs="Times New Roman"/>
          <w:szCs w:val="28"/>
        </w:rPr>
        <w:t>信息技术 学习、教育和培训 在线课程</w:t>
      </w:r>
    </w:p>
    <w:p w14:paraId="5DA0B101">
      <w:pPr>
        <w:spacing w:line="560" w:lineRule="exact"/>
        <w:ind w:firstLine="640"/>
        <w:rPr>
          <w:rFonts w:hint="eastAsia" w:ascii="Times New Roman" w:hAnsi="Times New Roman" w:cs="Times New Roman"/>
          <w:szCs w:val="28"/>
        </w:rPr>
      </w:pPr>
      <w:r>
        <w:rPr>
          <w:rFonts w:hint="eastAsia" w:ascii="Times New Roman" w:hAnsi="Times New Roman" w:cs="Times New Roman"/>
          <w:szCs w:val="28"/>
        </w:rPr>
        <w:t>[2]</w:t>
      </w:r>
      <w:r>
        <w:rPr>
          <w:rFonts w:hint="eastAsia" w:ascii="Times New Roman" w:hAnsi="Times New Roman" w:cs="Times New Roman"/>
          <w:szCs w:val="28"/>
          <w:lang w:val="en-US" w:eastAsia="zh-CN"/>
        </w:rPr>
        <w:t xml:space="preserve"> </w:t>
      </w:r>
      <w:r>
        <w:rPr>
          <w:rFonts w:hint="eastAsia" w:ascii="Times New Roman" w:hAnsi="Times New Roman" w:cs="Times New Roman"/>
          <w:szCs w:val="28"/>
        </w:rPr>
        <w:t xml:space="preserve"> GB/T 38859—2020 </w:t>
      </w:r>
      <w:r>
        <w:rPr>
          <w:rFonts w:hint="eastAsia" w:ascii="Times New Roman" w:hAnsi="Times New Roman" w:cs="Times New Roman"/>
          <w:szCs w:val="28"/>
          <w:lang w:val="en-US" w:eastAsia="zh-CN"/>
        </w:rPr>
        <w:t xml:space="preserve"> </w:t>
      </w:r>
      <w:r>
        <w:rPr>
          <w:rFonts w:hint="eastAsia" w:ascii="Times New Roman" w:hAnsi="Times New Roman" w:cs="Times New Roman"/>
          <w:szCs w:val="28"/>
        </w:rPr>
        <w:t>干部网络培训 课程评价指标</w:t>
      </w:r>
    </w:p>
    <w:p w14:paraId="536A8BC7">
      <w:pPr>
        <w:spacing w:line="560" w:lineRule="exact"/>
        <w:ind w:firstLine="640"/>
        <w:rPr>
          <w:rFonts w:hint="eastAsia" w:ascii="Times New Roman" w:hAnsi="Times New Roman" w:cs="Times New Roman"/>
          <w:szCs w:val="28"/>
        </w:rPr>
      </w:pPr>
      <w:r>
        <w:rPr>
          <w:rFonts w:hint="eastAsia" w:ascii="Times New Roman" w:hAnsi="Times New Roman" w:cs="Times New Roman"/>
          <w:szCs w:val="28"/>
        </w:rPr>
        <w:t xml:space="preserve">[3] </w:t>
      </w:r>
      <w:r>
        <w:rPr>
          <w:rFonts w:hint="eastAsia" w:ascii="Times New Roman" w:hAnsi="Times New Roman" w:cs="Times New Roman"/>
          <w:szCs w:val="28"/>
          <w:lang w:val="en-US" w:eastAsia="zh-CN"/>
        </w:rPr>
        <w:t xml:space="preserve"> </w:t>
      </w:r>
      <w:r>
        <w:rPr>
          <w:rFonts w:hint="eastAsia" w:ascii="Times New Roman" w:hAnsi="Times New Roman" w:cs="Times New Roman"/>
          <w:szCs w:val="28"/>
        </w:rPr>
        <w:t xml:space="preserve">GB/T 39735—2020 </w:t>
      </w:r>
      <w:r>
        <w:rPr>
          <w:rFonts w:hint="eastAsia" w:ascii="Times New Roman" w:hAnsi="Times New Roman" w:cs="Times New Roman"/>
          <w:szCs w:val="28"/>
          <w:lang w:val="en-US" w:eastAsia="zh-CN"/>
        </w:rPr>
        <w:t xml:space="preserve"> </w:t>
      </w:r>
      <w:r>
        <w:rPr>
          <w:rFonts w:hint="eastAsia" w:ascii="Times New Roman" w:hAnsi="Times New Roman" w:cs="Times New Roman"/>
          <w:szCs w:val="28"/>
        </w:rPr>
        <w:t>政务服务评价工作指南</w:t>
      </w:r>
    </w:p>
    <w:p w14:paraId="7B9EAA18">
      <w:pPr>
        <w:spacing w:line="560" w:lineRule="exact"/>
        <w:ind w:firstLine="640"/>
        <w:rPr>
          <w:rFonts w:hint="eastAsia" w:ascii="Times New Roman" w:hAnsi="Times New Roman" w:cs="Times New Roman"/>
          <w:szCs w:val="28"/>
        </w:rPr>
      </w:pPr>
      <w:r>
        <w:rPr>
          <w:rFonts w:hint="eastAsia" w:ascii="Times New Roman" w:hAnsi="Times New Roman" w:cs="Times New Roman"/>
          <w:szCs w:val="28"/>
        </w:rPr>
        <w:t>[4]</w:t>
      </w:r>
      <w:r>
        <w:rPr>
          <w:rFonts w:hint="eastAsia" w:ascii="Times New Roman" w:hAnsi="Times New Roman" w:cs="Times New Roman"/>
          <w:szCs w:val="28"/>
          <w:lang w:val="en-US" w:eastAsia="zh-CN"/>
        </w:rPr>
        <w:t xml:space="preserve"> </w:t>
      </w:r>
      <w:r>
        <w:rPr>
          <w:rFonts w:hint="eastAsia" w:ascii="Times New Roman" w:hAnsi="Times New Roman" w:cs="Times New Roman"/>
          <w:szCs w:val="28"/>
        </w:rPr>
        <w:t xml:space="preserve"> LB/T 054—2025 </w:t>
      </w:r>
      <w:r>
        <w:rPr>
          <w:rFonts w:hint="eastAsia" w:ascii="Times New Roman" w:hAnsi="Times New Roman" w:cs="Times New Roman"/>
          <w:szCs w:val="28"/>
          <w:lang w:val="en-US" w:eastAsia="zh-CN"/>
        </w:rPr>
        <w:t xml:space="preserve"> </w:t>
      </w:r>
      <w:r>
        <w:rPr>
          <w:rFonts w:hint="eastAsia" w:ascii="Times New Roman" w:hAnsi="Times New Roman" w:cs="Times New Roman"/>
          <w:szCs w:val="28"/>
        </w:rPr>
        <w:t>研学旅游服务要求</w:t>
      </w:r>
    </w:p>
    <w:p w14:paraId="0652B158">
      <w:pPr>
        <w:spacing w:line="560" w:lineRule="exact"/>
        <w:ind w:firstLine="640"/>
        <w:rPr>
          <w:rFonts w:hint="eastAsia" w:ascii="Times New Roman" w:hAnsi="Times New Roman" w:cs="Times New Roman"/>
          <w:szCs w:val="28"/>
        </w:rPr>
      </w:pPr>
      <w:r>
        <w:rPr>
          <w:rFonts w:hint="eastAsia" w:ascii="Times New Roman" w:hAnsi="Times New Roman" w:cs="Times New Roman"/>
          <w:szCs w:val="28"/>
        </w:rPr>
        <w:t xml:space="preserve">[5] </w:t>
      </w:r>
      <w:r>
        <w:rPr>
          <w:rFonts w:hint="eastAsia" w:ascii="Times New Roman" w:hAnsi="Times New Roman" w:cs="Times New Roman"/>
          <w:szCs w:val="28"/>
          <w:lang w:val="en-US" w:eastAsia="zh-CN"/>
        </w:rPr>
        <w:t xml:space="preserve"> </w:t>
      </w:r>
      <w:r>
        <w:rPr>
          <w:rFonts w:hint="eastAsia" w:ascii="Times New Roman" w:hAnsi="Times New Roman" w:cs="Times New Roman"/>
          <w:szCs w:val="28"/>
        </w:rPr>
        <w:t xml:space="preserve">LB/T 092—2025 </w:t>
      </w:r>
      <w:r>
        <w:rPr>
          <w:rFonts w:hint="eastAsia" w:ascii="Times New Roman" w:hAnsi="Times New Roman" w:cs="Times New Roman"/>
          <w:szCs w:val="28"/>
          <w:lang w:val="en-US" w:eastAsia="zh-CN"/>
        </w:rPr>
        <w:t xml:space="preserve"> </w:t>
      </w:r>
      <w:r>
        <w:rPr>
          <w:rFonts w:hint="eastAsia" w:ascii="Times New Roman" w:hAnsi="Times New Roman" w:cs="Times New Roman"/>
          <w:szCs w:val="28"/>
        </w:rPr>
        <w:t>研学旅游课程与线路设计指南</w:t>
      </w:r>
    </w:p>
    <w:p w14:paraId="13826E7E">
      <w:pPr>
        <w:spacing w:line="560" w:lineRule="exact"/>
        <w:ind w:firstLine="640"/>
        <w:rPr>
          <w:rFonts w:hint="eastAsia" w:ascii="Times New Roman" w:hAnsi="Times New Roman" w:cs="Times New Roman"/>
          <w:szCs w:val="28"/>
        </w:rPr>
      </w:pPr>
      <w:r>
        <w:rPr>
          <w:rFonts w:hint="eastAsia" w:ascii="Times New Roman" w:hAnsi="Times New Roman" w:cs="Times New Roman"/>
          <w:szCs w:val="28"/>
        </w:rPr>
        <w:t>[</w:t>
      </w:r>
      <w:r>
        <w:rPr>
          <w:rFonts w:hint="eastAsia" w:ascii="Times New Roman" w:hAnsi="Times New Roman" w:cs="Times New Roman"/>
          <w:szCs w:val="28"/>
          <w:lang w:val="en-US" w:eastAsia="zh-CN"/>
        </w:rPr>
        <w:t>6</w:t>
      </w:r>
      <w:r>
        <w:rPr>
          <w:rFonts w:hint="eastAsia" w:ascii="Times New Roman" w:hAnsi="Times New Roman" w:cs="Times New Roman"/>
          <w:szCs w:val="28"/>
        </w:rPr>
        <w:t xml:space="preserve">] </w:t>
      </w:r>
      <w:r>
        <w:rPr>
          <w:rFonts w:hint="eastAsia" w:ascii="Times New Roman" w:hAnsi="Times New Roman" w:cs="Times New Roman"/>
          <w:szCs w:val="28"/>
          <w:lang w:val="en-US" w:eastAsia="zh-CN"/>
        </w:rPr>
        <w:t xml:space="preserve"> </w:t>
      </w:r>
      <w:r>
        <w:rPr>
          <w:rFonts w:hint="eastAsia" w:ascii="Times New Roman" w:hAnsi="Times New Roman" w:cs="Times New Roman"/>
          <w:szCs w:val="28"/>
        </w:rPr>
        <w:t>DB36/T 1413.2—2021</w:t>
      </w:r>
      <w:r>
        <w:rPr>
          <w:rFonts w:hint="eastAsia" w:ascii="Times New Roman" w:hAnsi="Times New Roman" w:cs="Times New Roman"/>
          <w:szCs w:val="28"/>
          <w:lang w:val="en-US" w:eastAsia="zh-CN"/>
        </w:rPr>
        <w:t xml:space="preserve"> </w:t>
      </w:r>
      <w:r>
        <w:rPr>
          <w:rFonts w:hint="eastAsia" w:ascii="Times New Roman" w:hAnsi="Times New Roman" w:cs="Times New Roman"/>
          <w:szCs w:val="28"/>
        </w:rPr>
        <w:t xml:space="preserve"> 中小学研学旅行 第 2 部分：课程设置规范</w:t>
      </w:r>
    </w:p>
    <w:p w14:paraId="05970D8F">
      <w:pPr>
        <w:spacing w:line="560" w:lineRule="exact"/>
        <w:ind w:firstLine="640"/>
        <w:rPr>
          <w:rFonts w:hint="eastAsia" w:ascii="Times New Roman" w:hAnsi="Times New Roman" w:cs="Times New Roman"/>
          <w:szCs w:val="28"/>
        </w:rPr>
      </w:pPr>
      <w:r>
        <w:rPr>
          <w:rFonts w:hint="eastAsia" w:ascii="Times New Roman" w:hAnsi="Times New Roman" w:cs="Times New Roman"/>
          <w:szCs w:val="28"/>
        </w:rPr>
        <w:t>[</w:t>
      </w:r>
      <w:r>
        <w:rPr>
          <w:rFonts w:hint="eastAsia" w:ascii="Times New Roman" w:hAnsi="Times New Roman" w:cs="Times New Roman"/>
          <w:szCs w:val="28"/>
          <w:lang w:val="en-US" w:eastAsia="zh-CN"/>
        </w:rPr>
        <w:t>7</w:t>
      </w:r>
      <w:r>
        <w:rPr>
          <w:rFonts w:hint="eastAsia" w:ascii="Times New Roman" w:hAnsi="Times New Roman" w:cs="Times New Roman"/>
          <w:szCs w:val="28"/>
        </w:rPr>
        <w:t xml:space="preserve">] </w:t>
      </w:r>
      <w:r>
        <w:rPr>
          <w:rFonts w:hint="eastAsia" w:ascii="Times New Roman" w:hAnsi="Times New Roman" w:cs="Times New Roman"/>
          <w:szCs w:val="28"/>
          <w:lang w:val="en-US" w:eastAsia="zh-CN"/>
        </w:rPr>
        <w:t xml:space="preserve"> </w:t>
      </w:r>
      <w:r>
        <w:rPr>
          <w:rFonts w:hint="eastAsia" w:ascii="Times New Roman" w:hAnsi="Times New Roman" w:cs="Times New Roman"/>
          <w:szCs w:val="28"/>
        </w:rPr>
        <w:t xml:space="preserve">DB36/T 1413.4—2021 </w:t>
      </w:r>
      <w:r>
        <w:rPr>
          <w:rFonts w:hint="eastAsia" w:ascii="Times New Roman" w:hAnsi="Times New Roman" w:cs="Times New Roman"/>
          <w:szCs w:val="28"/>
          <w:lang w:val="en-US" w:eastAsia="zh-CN"/>
        </w:rPr>
        <w:t xml:space="preserve"> </w:t>
      </w:r>
      <w:r>
        <w:rPr>
          <w:rFonts w:hint="eastAsia" w:ascii="Times New Roman" w:hAnsi="Times New Roman" w:cs="Times New Roman"/>
          <w:szCs w:val="28"/>
        </w:rPr>
        <w:t>中小学研学旅行 第 4 部分：评价规范</w:t>
      </w:r>
    </w:p>
    <w:p w14:paraId="6C6C7816">
      <w:pPr>
        <w:spacing w:line="560" w:lineRule="exact"/>
        <w:ind w:firstLine="640"/>
        <w:rPr>
          <w:rFonts w:hint="eastAsia" w:ascii="Times New Roman" w:hAnsi="Times New Roman" w:cs="Times New Roman"/>
          <w:szCs w:val="28"/>
        </w:rPr>
      </w:pPr>
      <w:r>
        <w:rPr>
          <w:rFonts w:hint="eastAsia" w:ascii="Times New Roman" w:hAnsi="Times New Roman" w:cs="Times New Roman"/>
          <w:szCs w:val="28"/>
        </w:rPr>
        <w:t>[</w:t>
      </w:r>
      <w:r>
        <w:rPr>
          <w:rFonts w:hint="eastAsia" w:ascii="Times New Roman" w:hAnsi="Times New Roman" w:cs="Times New Roman"/>
          <w:szCs w:val="28"/>
          <w:lang w:val="en-US" w:eastAsia="zh-CN"/>
        </w:rPr>
        <w:t>8</w:t>
      </w:r>
      <w:r>
        <w:rPr>
          <w:rFonts w:hint="eastAsia" w:ascii="Times New Roman" w:hAnsi="Times New Roman" w:cs="Times New Roman"/>
          <w:szCs w:val="28"/>
        </w:rPr>
        <w:t xml:space="preserve">] </w:t>
      </w:r>
      <w:r>
        <w:rPr>
          <w:rFonts w:hint="eastAsia" w:ascii="Times New Roman" w:hAnsi="Times New Roman" w:cs="Times New Roman"/>
          <w:szCs w:val="28"/>
          <w:lang w:val="en-US" w:eastAsia="zh-CN"/>
        </w:rPr>
        <w:t xml:space="preserve"> </w:t>
      </w:r>
      <w:r>
        <w:rPr>
          <w:rFonts w:hint="eastAsia" w:ascii="Times New Roman" w:hAnsi="Times New Roman" w:cs="Times New Roman"/>
          <w:szCs w:val="28"/>
        </w:rPr>
        <w:t>DB3715/T 30—2023</w:t>
      </w:r>
      <w:r>
        <w:rPr>
          <w:rFonts w:hint="eastAsia" w:ascii="Times New Roman" w:hAnsi="Times New Roman" w:cs="Times New Roman"/>
          <w:szCs w:val="28"/>
          <w:lang w:val="en-US" w:eastAsia="zh-CN"/>
        </w:rPr>
        <w:t xml:space="preserve"> </w:t>
      </w:r>
      <w:r>
        <w:rPr>
          <w:rFonts w:hint="eastAsia" w:ascii="Times New Roman" w:hAnsi="Times New Roman" w:cs="Times New Roman"/>
          <w:szCs w:val="28"/>
        </w:rPr>
        <w:t xml:space="preserve"> 研学旅行服务规范</w:t>
      </w:r>
    </w:p>
    <w:p w14:paraId="0F206890">
      <w:pPr>
        <w:spacing w:line="560" w:lineRule="exact"/>
        <w:ind w:firstLine="640"/>
        <w:rPr>
          <w:rFonts w:hint="eastAsia" w:ascii="Times New Roman" w:hAnsi="Times New Roman" w:cs="Times New Roman"/>
          <w:szCs w:val="28"/>
        </w:rPr>
      </w:pPr>
      <w:r>
        <w:rPr>
          <w:rFonts w:hint="eastAsia" w:ascii="Times New Roman" w:hAnsi="Times New Roman" w:cs="Times New Roman"/>
          <w:szCs w:val="28"/>
        </w:rPr>
        <w:t>[</w:t>
      </w:r>
      <w:r>
        <w:rPr>
          <w:rFonts w:hint="eastAsia" w:ascii="Times New Roman" w:hAnsi="Times New Roman" w:cs="Times New Roman"/>
          <w:szCs w:val="28"/>
          <w:lang w:val="en-US" w:eastAsia="zh-CN"/>
        </w:rPr>
        <w:t>9</w:t>
      </w:r>
      <w:r>
        <w:rPr>
          <w:rFonts w:hint="eastAsia" w:ascii="Times New Roman" w:hAnsi="Times New Roman" w:cs="Times New Roman"/>
          <w:szCs w:val="28"/>
        </w:rPr>
        <w:t xml:space="preserve">] </w:t>
      </w:r>
      <w:r>
        <w:rPr>
          <w:rFonts w:hint="eastAsia" w:ascii="Times New Roman" w:hAnsi="Times New Roman" w:cs="Times New Roman"/>
          <w:szCs w:val="28"/>
          <w:lang w:val="en-US" w:eastAsia="zh-CN"/>
        </w:rPr>
        <w:t xml:space="preserve"> </w:t>
      </w:r>
      <w:r>
        <w:rPr>
          <w:rFonts w:hint="eastAsia" w:ascii="Times New Roman" w:hAnsi="Times New Roman" w:cs="Times New Roman"/>
          <w:szCs w:val="28"/>
        </w:rPr>
        <w:t xml:space="preserve">DB4105/T 155—2021 </w:t>
      </w:r>
      <w:r>
        <w:rPr>
          <w:rFonts w:hint="eastAsia" w:ascii="Times New Roman" w:hAnsi="Times New Roman" w:cs="Times New Roman"/>
          <w:szCs w:val="28"/>
          <w:lang w:val="en-US" w:eastAsia="zh-CN"/>
        </w:rPr>
        <w:t xml:space="preserve"> </w:t>
      </w:r>
      <w:r>
        <w:rPr>
          <w:rFonts w:hint="eastAsia" w:ascii="Times New Roman" w:hAnsi="Times New Roman" w:cs="Times New Roman"/>
          <w:szCs w:val="28"/>
        </w:rPr>
        <w:t>研学旅行组织与服务规范</w:t>
      </w:r>
    </w:p>
    <w:p w14:paraId="4CAEB634">
      <w:pPr>
        <w:spacing w:line="560" w:lineRule="exact"/>
        <w:ind w:firstLine="640"/>
        <w:rPr>
          <w:rFonts w:hint="eastAsia" w:ascii="Times New Roman" w:hAnsi="Times New Roman" w:cs="Times New Roman"/>
          <w:szCs w:val="28"/>
        </w:rPr>
      </w:pPr>
      <w:r>
        <w:rPr>
          <w:rFonts w:hint="eastAsia" w:ascii="Times New Roman" w:hAnsi="Times New Roman" w:cs="Times New Roman"/>
          <w:szCs w:val="28"/>
        </w:rPr>
        <w:t>[1</w:t>
      </w:r>
      <w:r>
        <w:rPr>
          <w:rFonts w:hint="eastAsia" w:ascii="Times New Roman" w:hAnsi="Times New Roman" w:cs="Times New Roman"/>
          <w:szCs w:val="28"/>
          <w:lang w:val="en-US" w:eastAsia="zh-CN"/>
        </w:rPr>
        <w:t>0</w:t>
      </w:r>
      <w:r>
        <w:rPr>
          <w:rFonts w:hint="eastAsia" w:ascii="Times New Roman" w:hAnsi="Times New Roman" w:cs="Times New Roman"/>
          <w:szCs w:val="28"/>
        </w:rPr>
        <w:t xml:space="preserve">] </w:t>
      </w:r>
      <w:r>
        <w:rPr>
          <w:rFonts w:hint="eastAsia" w:ascii="Times New Roman" w:hAnsi="Times New Roman" w:cs="Times New Roman"/>
          <w:szCs w:val="28"/>
          <w:lang w:val="en-US" w:eastAsia="zh-CN"/>
        </w:rPr>
        <w:t xml:space="preserve"> </w:t>
      </w:r>
      <w:r>
        <w:rPr>
          <w:rFonts w:hint="eastAsia" w:ascii="Times New Roman" w:hAnsi="Times New Roman" w:cs="Times New Roman"/>
          <w:szCs w:val="28"/>
        </w:rPr>
        <w:t>DB4105/T 240—2024</w:t>
      </w:r>
      <w:r>
        <w:rPr>
          <w:rFonts w:hint="eastAsia" w:ascii="Times New Roman" w:hAnsi="Times New Roman" w:cs="Times New Roman"/>
          <w:szCs w:val="28"/>
          <w:lang w:val="en-US" w:eastAsia="zh-CN"/>
        </w:rPr>
        <w:t xml:space="preserve"> </w:t>
      </w:r>
      <w:r>
        <w:rPr>
          <w:rFonts w:hint="eastAsia" w:ascii="Times New Roman" w:hAnsi="Times New Roman" w:cs="Times New Roman"/>
          <w:szCs w:val="28"/>
        </w:rPr>
        <w:t xml:space="preserve"> 研学旅行综合评价指南</w:t>
      </w:r>
    </w:p>
    <w:p w14:paraId="40A3E7EE">
      <w:pPr>
        <w:spacing w:line="560" w:lineRule="exact"/>
        <w:ind w:firstLine="640"/>
        <w:rPr>
          <w:rFonts w:hint="eastAsia" w:ascii="Times New Roman" w:hAnsi="Times New Roman" w:cs="Times New Roman"/>
          <w:szCs w:val="28"/>
        </w:rPr>
      </w:pPr>
      <w:r>
        <w:rPr>
          <w:rFonts w:hint="eastAsia" w:ascii="Times New Roman" w:hAnsi="Times New Roman" w:cs="Times New Roman"/>
          <w:szCs w:val="28"/>
        </w:rPr>
        <w:t>[1</w:t>
      </w:r>
      <w:r>
        <w:rPr>
          <w:rFonts w:hint="eastAsia" w:ascii="Times New Roman" w:hAnsi="Times New Roman" w:cs="Times New Roman"/>
          <w:szCs w:val="28"/>
          <w:lang w:val="en-US" w:eastAsia="zh-CN"/>
        </w:rPr>
        <w:t>1</w:t>
      </w:r>
      <w:r>
        <w:rPr>
          <w:rFonts w:hint="eastAsia" w:ascii="Times New Roman" w:hAnsi="Times New Roman" w:cs="Times New Roman"/>
          <w:szCs w:val="28"/>
        </w:rPr>
        <w:t xml:space="preserve">] </w:t>
      </w:r>
      <w:r>
        <w:rPr>
          <w:rFonts w:hint="eastAsia" w:ascii="Times New Roman" w:hAnsi="Times New Roman" w:cs="Times New Roman"/>
          <w:szCs w:val="28"/>
          <w:lang w:val="en-US" w:eastAsia="zh-CN"/>
        </w:rPr>
        <w:t xml:space="preserve"> </w:t>
      </w:r>
      <w:r>
        <w:rPr>
          <w:rFonts w:hint="eastAsia" w:ascii="Times New Roman" w:hAnsi="Times New Roman" w:cs="Times New Roman"/>
          <w:szCs w:val="28"/>
        </w:rPr>
        <w:t xml:space="preserve">DB43/T 1861—2020 </w:t>
      </w:r>
      <w:r>
        <w:rPr>
          <w:rFonts w:hint="eastAsia" w:ascii="Times New Roman" w:hAnsi="Times New Roman" w:cs="Times New Roman"/>
          <w:szCs w:val="28"/>
          <w:lang w:val="en-US" w:eastAsia="zh-CN"/>
        </w:rPr>
        <w:t xml:space="preserve"> </w:t>
      </w:r>
      <w:r>
        <w:rPr>
          <w:rFonts w:hint="eastAsia" w:ascii="Times New Roman" w:hAnsi="Times New Roman" w:cs="Times New Roman"/>
          <w:szCs w:val="28"/>
        </w:rPr>
        <w:t>成人高等教育课程教学质量评价规范</w:t>
      </w:r>
    </w:p>
    <w:p w14:paraId="749C5FAB">
      <w:pPr>
        <w:spacing w:line="560" w:lineRule="exact"/>
        <w:ind w:firstLine="640"/>
        <w:rPr>
          <w:rFonts w:hint="eastAsia" w:ascii="Times New Roman" w:hAnsi="Times New Roman" w:cs="Times New Roman"/>
          <w:szCs w:val="28"/>
        </w:rPr>
      </w:pPr>
      <w:r>
        <w:rPr>
          <w:rFonts w:hint="eastAsia" w:ascii="Times New Roman" w:hAnsi="Times New Roman" w:cs="Times New Roman"/>
          <w:szCs w:val="28"/>
        </w:rPr>
        <w:t>[1</w:t>
      </w:r>
      <w:r>
        <w:rPr>
          <w:rFonts w:hint="eastAsia" w:ascii="Times New Roman" w:hAnsi="Times New Roman" w:cs="Times New Roman"/>
          <w:szCs w:val="28"/>
          <w:lang w:val="en-US" w:eastAsia="zh-CN"/>
        </w:rPr>
        <w:t>2</w:t>
      </w:r>
      <w:r>
        <w:rPr>
          <w:rFonts w:hint="eastAsia" w:ascii="Times New Roman" w:hAnsi="Times New Roman" w:cs="Times New Roman"/>
          <w:szCs w:val="28"/>
        </w:rPr>
        <w:t xml:space="preserve">] </w:t>
      </w:r>
      <w:r>
        <w:rPr>
          <w:rFonts w:hint="eastAsia" w:ascii="Times New Roman" w:hAnsi="Times New Roman" w:cs="Times New Roman"/>
          <w:szCs w:val="28"/>
          <w:lang w:val="en-US" w:eastAsia="zh-CN"/>
        </w:rPr>
        <w:t xml:space="preserve"> </w:t>
      </w:r>
      <w:r>
        <w:rPr>
          <w:rFonts w:hint="eastAsia" w:ascii="Times New Roman" w:hAnsi="Times New Roman" w:cs="Times New Roman"/>
          <w:szCs w:val="28"/>
        </w:rPr>
        <w:t xml:space="preserve">DB 64/T 2150—2025 </w:t>
      </w:r>
      <w:r>
        <w:rPr>
          <w:rFonts w:hint="eastAsia" w:ascii="Times New Roman" w:hAnsi="Times New Roman" w:cs="Times New Roman"/>
          <w:szCs w:val="28"/>
          <w:lang w:val="en-US" w:eastAsia="zh-CN"/>
        </w:rPr>
        <w:t xml:space="preserve"> </w:t>
      </w:r>
      <w:r>
        <w:rPr>
          <w:rFonts w:hint="eastAsia" w:ascii="Times New Roman" w:hAnsi="Times New Roman" w:cs="Times New Roman"/>
          <w:szCs w:val="28"/>
        </w:rPr>
        <w:t>科普研学实施规范</w:t>
      </w:r>
    </w:p>
    <w:p w14:paraId="731C79C5">
      <w:pPr>
        <w:spacing w:line="560" w:lineRule="exact"/>
        <w:ind w:firstLine="640"/>
        <w:rPr>
          <w:rFonts w:hint="eastAsia" w:ascii="Times New Roman" w:hAnsi="Times New Roman" w:cs="Times New Roman"/>
          <w:szCs w:val="28"/>
        </w:rPr>
      </w:pPr>
      <w:r>
        <w:rPr>
          <w:rFonts w:hint="eastAsia" w:ascii="Times New Roman" w:hAnsi="Times New Roman" w:cs="Times New Roman"/>
          <w:szCs w:val="28"/>
        </w:rPr>
        <w:t>[</w:t>
      </w:r>
      <w:r>
        <w:rPr>
          <w:rFonts w:hint="eastAsia" w:ascii="Times New Roman" w:hAnsi="Times New Roman" w:cs="Times New Roman"/>
          <w:szCs w:val="28"/>
          <w:lang w:val="en-US" w:eastAsia="zh-CN"/>
        </w:rPr>
        <w:t>13</w:t>
      </w:r>
      <w:r>
        <w:rPr>
          <w:rFonts w:hint="eastAsia" w:ascii="Times New Roman" w:hAnsi="Times New Roman" w:cs="Times New Roman"/>
          <w:szCs w:val="28"/>
        </w:rPr>
        <w:t xml:space="preserve">] </w:t>
      </w:r>
      <w:r>
        <w:rPr>
          <w:rFonts w:hint="eastAsia" w:ascii="Times New Roman" w:hAnsi="Times New Roman" w:cs="Times New Roman"/>
          <w:szCs w:val="28"/>
          <w:lang w:val="en-US" w:eastAsia="zh-CN"/>
        </w:rPr>
        <w:t xml:space="preserve"> </w:t>
      </w:r>
      <w:r>
        <w:rPr>
          <w:rFonts w:hint="eastAsia" w:ascii="Times New Roman" w:hAnsi="Times New Roman" w:cs="Times New Roman"/>
          <w:szCs w:val="28"/>
        </w:rPr>
        <w:t xml:space="preserve">T/CSWA 001—2023 </w:t>
      </w:r>
      <w:r>
        <w:rPr>
          <w:rFonts w:hint="eastAsia" w:ascii="Times New Roman" w:hAnsi="Times New Roman" w:cs="Times New Roman"/>
          <w:szCs w:val="28"/>
          <w:lang w:val="en-US" w:eastAsia="zh-CN"/>
        </w:rPr>
        <w:t xml:space="preserve"> </w:t>
      </w:r>
      <w:r>
        <w:rPr>
          <w:rFonts w:hint="eastAsia" w:ascii="Times New Roman" w:hAnsi="Times New Roman" w:cs="Times New Roman"/>
          <w:szCs w:val="28"/>
        </w:rPr>
        <w:t>科普视频评价指标体系</w:t>
      </w:r>
    </w:p>
    <w:p w14:paraId="32D7273D">
      <w:pPr>
        <w:spacing w:before="156" w:beforeLines="50" w:after="156" w:afterLines="50" w:line="560" w:lineRule="exact"/>
        <w:ind w:firstLine="643"/>
        <w:outlineLvl w:val="1"/>
        <w:rPr>
          <w:rFonts w:hint="eastAsia" w:ascii="楷体" w:hAnsi="楷体" w:eastAsia="楷体" w:cs="仿宋_GB2312"/>
          <w:b/>
          <w:szCs w:val="28"/>
        </w:rPr>
      </w:pPr>
      <w:r>
        <w:rPr>
          <w:rFonts w:hint="eastAsia" w:ascii="楷体" w:hAnsi="楷体" w:eastAsia="楷体" w:cs="仿宋_GB2312"/>
          <w:b/>
          <w:szCs w:val="28"/>
        </w:rPr>
        <w:t>（三）研讨确定标准特色、创新点和主体内容</w:t>
      </w:r>
    </w:p>
    <w:p w14:paraId="03091C1E">
      <w:pPr>
        <w:spacing w:line="560" w:lineRule="exact"/>
        <w:ind w:firstLine="640"/>
        <w:rPr>
          <w:rFonts w:hint="eastAsia" w:ascii="仿宋_GB2312" w:hAnsi="宋体"/>
          <w:szCs w:val="28"/>
        </w:rPr>
      </w:pPr>
      <w:r>
        <w:rPr>
          <w:rFonts w:hint="eastAsia" w:ascii="仿宋_GB2312" w:hAnsi="宋体"/>
          <w:szCs w:val="28"/>
        </w:rPr>
        <w:t>1.特色与创新点</w:t>
      </w:r>
    </w:p>
    <w:p w14:paraId="5807273E">
      <w:pPr>
        <w:pStyle w:val="15"/>
        <w:spacing w:after="0" w:line="560" w:lineRule="exact"/>
        <w:ind w:firstLine="640"/>
        <w:rPr>
          <w:rFonts w:hint="eastAsia" w:ascii="仿宋_GB2312" w:hAnsi="宋体"/>
          <w:szCs w:val="28"/>
        </w:rPr>
      </w:pPr>
      <w:r>
        <w:rPr>
          <w:rFonts w:hint="eastAsia" w:ascii="仿宋_GB2312" w:hAnsi="宋体"/>
          <w:szCs w:val="28"/>
        </w:rPr>
        <w:t>在标准的研制过程中，工作组通过多轮专题研讨与专家论证，深刻把握农业科普研学课程</w:t>
      </w:r>
      <w:r>
        <w:rPr>
          <w:rFonts w:hint="eastAsia" w:ascii="仿宋_GB2312" w:hAnsi="宋体"/>
          <w:szCs w:val="28"/>
          <w:lang w:val="en-US" w:eastAsia="zh-CN"/>
        </w:rPr>
        <w:t>设计</w:t>
      </w:r>
      <w:r>
        <w:rPr>
          <w:rFonts w:hint="eastAsia" w:ascii="仿宋_GB2312" w:hAnsi="宋体"/>
          <w:szCs w:val="28"/>
        </w:rPr>
        <w:t>的内在规律与教育诉求，着力突出其区别于其他类别研学课程</w:t>
      </w:r>
      <w:r>
        <w:rPr>
          <w:rFonts w:hint="eastAsia" w:ascii="仿宋_GB2312" w:hAnsi="宋体"/>
          <w:szCs w:val="28"/>
          <w:lang w:val="en-US" w:eastAsia="zh-CN"/>
        </w:rPr>
        <w:t>评价</w:t>
      </w:r>
      <w:r>
        <w:rPr>
          <w:rFonts w:hint="eastAsia" w:ascii="仿宋_GB2312" w:hAnsi="宋体"/>
          <w:szCs w:val="28"/>
        </w:rPr>
        <w:t>的独特属性，最终凝练并确立了本标准的以下几大特色与创新点：</w:t>
      </w:r>
    </w:p>
    <w:p w14:paraId="376DC2EE">
      <w:pPr>
        <w:pStyle w:val="15"/>
        <w:spacing w:after="0" w:line="560" w:lineRule="exact"/>
        <w:ind w:firstLine="640"/>
        <w:rPr>
          <w:rFonts w:hint="eastAsia" w:ascii="仿宋_GB2312" w:hAnsi="宋体"/>
          <w:szCs w:val="28"/>
        </w:rPr>
      </w:pPr>
      <w:r>
        <w:rPr>
          <w:rFonts w:hint="eastAsia" w:ascii="仿宋_GB2312" w:hAnsi="宋体"/>
          <w:szCs w:val="28"/>
          <w:lang w:eastAsia="zh-CN"/>
        </w:rPr>
        <w:t>（</w:t>
      </w:r>
      <w:r>
        <w:rPr>
          <w:rFonts w:hint="eastAsia" w:ascii="仿宋_GB2312" w:hAnsi="宋体"/>
          <w:szCs w:val="28"/>
          <w:lang w:val="en-US" w:eastAsia="zh-CN"/>
        </w:rPr>
        <w:t>1</w:t>
      </w:r>
      <w:r>
        <w:rPr>
          <w:rFonts w:hint="eastAsia" w:ascii="仿宋_GB2312" w:hAnsi="宋体"/>
          <w:szCs w:val="28"/>
          <w:lang w:eastAsia="zh-CN"/>
        </w:rPr>
        <w:t>）</w:t>
      </w:r>
      <w:r>
        <w:rPr>
          <w:rFonts w:hint="eastAsia" w:ascii="仿宋_GB2312" w:hAnsi="宋体"/>
          <w:szCs w:val="28"/>
        </w:rPr>
        <w:t>鲜明聚焦“农业”属性，实现评价维度专业化</w:t>
      </w:r>
    </w:p>
    <w:p w14:paraId="319F45C4">
      <w:pPr>
        <w:pStyle w:val="15"/>
        <w:spacing w:after="0" w:line="560" w:lineRule="exact"/>
        <w:ind w:firstLine="640"/>
        <w:rPr>
          <w:rFonts w:hint="eastAsia" w:ascii="仿宋_GB2312" w:hAnsi="宋体"/>
          <w:szCs w:val="28"/>
          <w:lang w:eastAsia="zh-CN"/>
        </w:rPr>
      </w:pPr>
      <w:r>
        <w:rPr>
          <w:rFonts w:hint="eastAsia" w:ascii="仿宋_GB2312" w:hAnsi="宋体"/>
          <w:szCs w:val="28"/>
          <w:lang w:eastAsia="zh-CN"/>
        </w:rPr>
        <w:t>本标准紧扣“农业科普”与“研学实践”的双重属性，明确以农业场景为载体，强调课程内容应体现地区农业特色、现代农业科技及传统农耕文化。评价指标设计不仅关注知识传递，更重视在真实农业环境中开展体验式、探究式学习，引导课程实现“知行合一”的教育目标。</w:t>
      </w:r>
    </w:p>
    <w:p w14:paraId="06DD3AF7">
      <w:pPr>
        <w:pStyle w:val="15"/>
        <w:spacing w:after="0" w:line="560" w:lineRule="exact"/>
        <w:ind w:firstLine="640"/>
        <w:rPr>
          <w:rFonts w:hint="eastAsia" w:ascii="仿宋_GB2312" w:hAnsi="宋体"/>
          <w:szCs w:val="28"/>
          <w:lang w:val="en-US" w:eastAsia="zh-CN"/>
        </w:rPr>
      </w:pPr>
      <w:r>
        <w:rPr>
          <w:rFonts w:hint="eastAsia" w:ascii="仿宋_GB2312" w:hAnsi="宋体"/>
          <w:szCs w:val="28"/>
          <w:lang w:eastAsia="zh-CN"/>
        </w:rPr>
        <w:t>（</w:t>
      </w:r>
      <w:r>
        <w:rPr>
          <w:rFonts w:hint="eastAsia" w:ascii="仿宋_GB2312" w:hAnsi="宋体"/>
          <w:szCs w:val="28"/>
          <w:lang w:val="en-US" w:eastAsia="zh-CN"/>
        </w:rPr>
        <w:t>2</w:t>
      </w:r>
      <w:r>
        <w:rPr>
          <w:rFonts w:hint="eastAsia" w:ascii="仿宋_GB2312" w:hAnsi="宋体"/>
          <w:szCs w:val="28"/>
          <w:lang w:eastAsia="zh-CN"/>
        </w:rPr>
        <w:t>）</w:t>
      </w:r>
      <w:r>
        <w:rPr>
          <w:rFonts w:hint="eastAsia" w:ascii="仿宋_GB2312" w:hAnsi="宋体"/>
          <w:szCs w:val="28"/>
          <w:lang w:val="en-US" w:eastAsia="zh-CN"/>
        </w:rPr>
        <w:t>突出实践性与过程性评价，引导课程回归教育本质</w:t>
      </w:r>
    </w:p>
    <w:p w14:paraId="5E89B58C">
      <w:pPr>
        <w:pStyle w:val="15"/>
        <w:spacing w:after="0" w:line="560" w:lineRule="exact"/>
        <w:ind w:firstLine="640"/>
        <w:rPr>
          <w:rFonts w:hint="eastAsia" w:ascii="仿宋_GB2312" w:hAnsi="宋体"/>
          <w:szCs w:val="28"/>
          <w:lang w:val="en-US" w:eastAsia="zh-CN"/>
        </w:rPr>
      </w:pPr>
      <w:r>
        <w:rPr>
          <w:rFonts w:hint="eastAsia" w:ascii="仿宋_GB2312" w:hAnsi="宋体"/>
          <w:szCs w:val="28"/>
          <w:lang w:val="en-US" w:eastAsia="zh-CN"/>
        </w:rPr>
        <w:t>为杜绝“只游不学”现象，本标准在“课程实施”指标中明确要求学习方式应强调学员的亲身体验，如动手操作、实地考察、实验研究等，并在“研学效果”中设立“学习感受”指标，关注学员的获得感与满意度。通过强化对实践环节和参与体验的评价，引导课程设计坚持以学生为中心、以实践为主线，确保研学教育的实效性。</w:t>
      </w:r>
    </w:p>
    <w:p w14:paraId="42759BE4">
      <w:pPr>
        <w:pStyle w:val="15"/>
        <w:spacing w:after="0" w:line="560" w:lineRule="exact"/>
        <w:ind w:firstLine="640"/>
        <w:rPr>
          <w:rFonts w:hint="eastAsia" w:ascii="仿宋_GB2312" w:hAnsi="宋体"/>
          <w:szCs w:val="28"/>
        </w:rPr>
      </w:pPr>
      <w:r>
        <w:rPr>
          <w:rFonts w:hint="eastAsia" w:ascii="仿宋_GB2312" w:hAnsi="宋体"/>
          <w:szCs w:val="28"/>
          <w:lang w:eastAsia="zh-CN"/>
        </w:rPr>
        <w:t>（</w:t>
      </w:r>
      <w:r>
        <w:rPr>
          <w:rFonts w:hint="eastAsia" w:ascii="仿宋_GB2312" w:hAnsi="宋体"/>
          <w:szCs w:val="28"/>
          <w:lang w:val="en-US" w:eastAsia="zh-CN"/>
        </w:rPr>
        <w:t>3</w:t>
      </w:r>
      <w:r>
        <w:rPr>
          <w:rFonts w:hint="eastAsia" w:ascii="仿宋_GB2312" w:hAnsi="宋体"/>
          <w:szCs w:val="28"/>
          <w:lang w:eastAsia="zh-CN"/>
        </w:rPr>
        <w:t>）</w:t>
      </w:r>
      <w:r>
        <w:rPr>
          <w:rFonts w:hint="eastAsia" w:ascii="仿宋_GB2312" w:hAnsi="宋体"/>
          <w:szCs w:val="28"/>
        </w:rPr>
        <w:t>构建多维度、可操作的评价指标体系</w:t>
      </w:r>
    </w:p>
    <w:p w14:paraId="7E15BD64">
      <w:pPr>
        <w:pStyle w:val="15"/>
        <w:spacing w:after="0" w:line="560" w:lineRule="exact"/>
        <w:ind w:firstLine="640"/>
        <w:rPr>
          <w:rFonts w:hint="eastAsia" w:ascii="仿宋_GB2312" w:hAnsi="宋体"/>
          <w:szCs w:val="28"/>
          <w:lang w:eastAsia="zh-CN"/>
        </w:rPr>
      </w:pPr>
      <w:r>
        <w:rPr>
          <w:rFonts w:hint="eastAsia" w:ascii="仿宋_GB2312" w:hAnsi="宋体"/>
          <w:szCs w:val="28"/>
          <w:lang w:eastAsia="zh-CN"/>
        </w:rPr>
        <w:t>围绕“课程设计—</w:t>
      </w:r>
      <w:r>
        <w:rPr>
          <w:rFonts w:hint="eastAsia" w:ascii="仿宋_GB2312" w:hAnsi="宋体"/>
          <w:szCs w:val="28"/>
          <w:lang w:val="en-US" w:eastAsia="zh-CN"/>
        </w:rPr>
        <w:t>课程实施</w:t>
      </w:r>
      <w:r>
        <w:rPr>
          <w:rFonts w:hint="eastAsia" w:ascii="仿宋_GB2312" w:hAnsi="宋体"/>
          <w:szCs w:val="28"/>
          <w:lang w:eastAsia="zh-CN"/>
        </w:rPr>
        <w:t>—</w:t>
      </w:r>
      <w:r>
        <w:rPr>
          <w:rFonts w:hint="eastAsia" w:ascii="仿宋_GB2312" w:hAnsi="宋体"/>
          <w:szCs w:val="28"/>
          <w:lang w:val="en-US" w:eastAsia="zh-CN"/>
        </w:rPr>
        <w:t>课程</w:t>
      </w:r>
      <w:r>
        <w:rPr>
          <w:rFonts w:hint="eastAsia" w:ascii="仿宋_GB2312" w:hAnsi="宋体"/>
          <w:szCs w:val="28"/>
          <w:lang w:eastAsia="zh-CN"/>
        </w:rPr>
        <w:t>效果”三大维度，设置一级指标3项、二级指标1</w:t>
      </w:r>
      <w:r>
        <w:rPr>
          <w:rFonts w:hint="eastAsia" w:ascii="仿宋_GB2312" w:hAnsi="宋体"/>
          <w:szCs w:val="28"/>
          <w:lang w:val="en-US" w:eastAsia="zh-CN"/>
        </w:rPr>
        <w:t>3</w:t>
      </w:r>
      <w:r>
        <w:rPr>
          <w:rFonts w:hint="eastAsia" w:ascii="仿宋_GB2312" w:hAnsi="宋体"/>
          <w:szCs w:val="28"/>
          <w:lang w:eastAsia="zh-CN"/>
        </w:rPr>
        <w:t>项，系统覆盖课程全流程。指标设计兼顾课程的前期设计、中期实施与后期效果，形成全过程闭环评价，附录中配套设计满意度调查表、评价指标评分表等工具，内容贴近实际应用场景，语言表述清晰易懂，便于各类评价主体直接使用或参照调整，提升了标准的落地性与适用性。</w:t>
      </w:r>
    </w:p>
    <w:p w14:paraId="7AFC68C9">
      <w:pPr>
        <w:pStyle w:val="15"/>
        <w:spacing w:after="0" w:line="560" w:lineRule="exact"/>
        <w:ind w:firstLine="640"/>
        <w:rPr>
          <w:rFonts w:hint="eastAsia"/>
        </w:rPr>
      </w:pPr>
      <w:r>
        <w:rPr>
          <w:rFonts w:hint="eastAsia" w:ascii="仿宋_GB2312" w:hAnsi="宋体"/>
          <w:szCs w:val="28"/>
          <w:lang w:eastAsia="zh-CN"/>
        </w:rPr>
        <w:t>（</w:t>
      </w:r>
      <w:r>
        <w:rPr>
          <w:rFonts w:hint="eastAsia" w:ascii="仿宋_GB2312" w:hAnsi="宋体"/>
          <w:szCs w:val="28"/>
          <w:lang w:val="en-US" w:eastAsia="zh-CN"/>
        </w:rPr>
        <w:t>4</w:t>
      </w:r>
      <w:r>
        <w:rPr>
          <w:rFonts w:hint="eastAsia" w:ascii="仿宋_GB2312" w:hAnsi="宋体"/>
          <w:szCs w:val="28"/>
          <w:lang w:eastAsia="zh-CN"/>
        </w:rPr>
        <w:t>）</w:t>
      </w:r>
      <w:r>
        <w:rPr>
          <w:rFonts w:hint="eastAsia"/>
        </w:rPr>
        <w:t>确立多元参与、方法综合、持续改进的评价机制</w:t>
      </w:r>
    </w:p>
    <w:p w14:paraId="5FB58A55">
      <w:pPr>
        <w:pStyle w:val="15"/>
        <w:spacing w:after="0" w:line="560" w:lineRule="exact"/>
        <w:ind w:firstLine="640"/>
        <w:rPr>
          <w:rFonts w:hint="eastAsia"/>
        </w:rPr>
      </w:pPr>
      <w:r>
        <w:rPr>
          <w:rFonts w:hint="eastAsia"/>
        </w:rPr>
        <w:t>本标准明确了包括课程实施方、参与方、主管部门及第三方机构在内的多元评价主体，并倡导综合运用查阅材料、问卷调查、现场观察、访谈座谈等多种评价方法。评价流程涵盖准备、实施、分析、反馈与改进各环节，体现了“评价—反馈—优化”的持续改进理念，确保评价结果全面、客观、有效，真正起到以评促建、以评促优的作用。</w:t>
      </w:r>
    </w:p>
    <w:p w14:paraId="612A1D52">
      <w:pPr>
        <w:pStyle w:val="15"/>
        <w:spacing w:after="0" w:line="560" w:lineRule="exact"/>
        <w:ind w:firstLine="640"/>
      </w:pPr>
      <w:r>
        <w:rPr>
          <w:rFonts w:hint="eastAsia"/>
        </w:rPr>
        <w:t>2.主体</w:t>
      </w:r>
      <w:r>
        <w:t>内容</w:t>
      </w:r>
    </w:p>
    <w:p w14:paraId="27B3C5CE">
      <w:pPr>
        <w:spacing w:line="560" w:lineRule="exact"/>
        <w:ind w:firstLine="640"/>
        <w:rPr>
          <w:rFonts w:hint="eastAsia" w:ascii="仿宋_GB2312" w:hAnsi="宋体" w:eastAsia="仿宋_GB2312"/>
          <w:szCs w:val="28"/>
          <w:lang w:eastAsia="zh-CN"/>
        </w:rPr>
      </w:pPr>
      <w:r>
        <w:rPr>
          <w:rFonts w:hint="eastAsia" w:ascii="仿宋_GB2312" w:hAnsi="宋体"/>
          <w:szCs w:val="28"/>
        </w:rPr>
        <w:t>标准编制组在对收集的资料进行整理研究之后，2025年</w:t>
      </w:r>
      <w:r>
        <w:rPr>
          <w:rFonts w:hint="eastAsia" w:ascii="仿宋_GB2312" w:hAnsi="宋体"/>
          <w:szCs w:val="28"/>
          <w:lang w:val="en-US" w:eastAsia="zh-CN"/>
        </w:rPr>
        <w:t>3</w:t>
      </w:r>
      <w:r>
        <w:rPr>
          <w:rFonts w:hint="eastAsia" w:ascii="仿宋_GB2312" w:hAnsi="宋体"/>
          <w:szCs w:val="28"/>
        </w:rPr>
        <w:t>月，标准编制组召开了标准编制会议，对标准的整体框架结构进行了研究，并对标准的关键性内容进行了初步探讨。经过研究，标准的主体内容确定为术语和定义，规定了</w:t>
      </w:r>
      <w:r>
        <w:rPr>
          <w:rFonts w:hint="eastAsia" w:ascii="仿宋_GB2312" w:hAnsi="宋体"/>
          <w:szCs w:val="28"/>
          <w:lang w:eastAsia="zh-CN"/>
        </w:rPr>
        <w:t>农业科普研学课程设计评价</w:t>
      </w:r>
      <w:r>
        <w:rPr>
          <w:rFonts w:hint="eastAsia"/>
        </w:rPr>
        <w:t>内容、</w:t>
      </w:r>
      <w:r>
        <w:rPr>
          <w:rFonts w:hint="eastAsia"/>
          <w:lang w:eastAsia="zh-CN"/>
        </w:rPr>
        <w:t>评价方法</w:t>
      </w:r>
      <w:r>
        <w:rPr>
          <w:rFonts w:hint="eastAsia"/>
        </w:rPr>
        <w:t>、</w:t>
      </w:r>
      <w:r>
        <w:rPr>
          <w:rFonts w:hint="eastAsia"/>
          <w:lang w:eastAsia="zh-CN"/>
        </w:rPr>
        <w:t>评价流程及要求</w:t>
      </w:r>
      <w:r>
        <w:rPr>
          <w:rFonts w:hint="eastAsia" w:ascii="仿宋_GB2312" w:hAnsi="宋体"/>
          <w:szCs w:val="28"/>
          <w:lang w:eastAsia="zh-CN"/>
        </w:rPr>
        <w:t>。</w:t>
      </w:r>
    </w:p>
    <w:p w14:paraId="36B842B5">
      <w:pPr>
        <w:spacing w:before="156" w:beforeLines="50" w:after="156" w:afterLines="50" w:line="560" w:lineRule="exact"/>
        <w:ind w:firstLine="643"/>
        <w:outlineLvl w:val="1"/>
        <w:rPr>
          <w:rFonts w:hint="eastAsia" w:ascii="楷体" w:hAnsi="楷体" w:eastAsia="楷体" w:cs="仿宋_GB2312"/>
          <w:b/>
          <w:color w:val="auto"/>
          <w:szCs w:val="28"/>
        </w:rPr>
      </w:pPr>
      <w:r>
        <w:rPr>
          <w:rFonts w:hint="eastAsia" w:ascii="楷体" w:hAnsi="楷体" w:eastAsia="楷体" w:cs="仿宋_GB2312"/>
          <w:b/>
          <w:color w:val="auto"/>
          <w:szCs w:val="28"/>
        </w:rPr>
        <w:t>（四）调研及形成草案、征求意见稿</w:t>
      </w:r>
    </w:p>
    <w:p w14:paraId="55E3EF8C">
      <w:pPr>
        <w:spacing w:line="560" w:lineRule="exact"/>
        <w:ind w:firstLine="640"/>
        <w:rPr>
          <w:rFonts w:hint="eastAsia" w:ascii="仿宋_GB2312" w:hAnsi="宋体"/>
          <w:szCs w:val="28"/>
        </w:rPr>
      </w:pPr>
      <w:r>
        <w:rPr>
          <w:rFonts w:hint="eastAsia" w:ascii="仿宋_GB2312" w:hAnsi="宋体"/>
          <w:szCs w:val="28"/>
        </w:rPr>
        <w:t>标准筹备前期，标准编制组进行了广泛实地调研工作，深入</w:t>
      </w:r>
      <w:r>
        <w:rPr>
          <w:rFonts w:hint="eastAsia" w:ascii="仿宋_GB2312" w:hAnsi="宋体"/>
          <w:szCs w:val="28"/>
          <w:lang w:val="en-US" w:eastAsia="zh-CN"/>
        </w:rPr>
        <w:t>广西多个中小学生研学实践教育基地、文博单位</w:t>
      </w:r>
      <w:r>
        <w:rPr>
          <w:rFonts w:hint="eastAsia" w:ascii="仿宋_GB2312" w:hAnsi="宋体"/>
          <w:szCs w:val="28"/>
        </w:rPr>
        <w:t>等地进行调研，系统考察了各地</w:t>
      </w:r>
      <w:r>
        <w:rPr>
          <w:rFonts w:hint="eastAsia" w:ascii="仿宋_GB2312" w:hAnsi="宋体"/>
          <w:szCs w:val="28"/>
          <w:lang w:eastAsia="zh-CN"/>
        </w:rPr>
        <w:t>农业科普研学课程设计评价</w:t>
      </w:r>
      <w:r>
        <w:rPr>
          <w:rFonts w:hint="eastAsia" w:ascii="仿宋_GB2312" w:hAnsi="宋体"/>
          <w:szCs w:val="28"/>
        </w:rPr>
        <w:t>的</w:t>
      </w:r>
      <w:r>
        <w:rPr>
          <w:rFonts w:hint="eastAsia" w:ascii="仿宋_GB2312" w:hAnsi="宋体"/>
          <w:szCs w:val="28"/>
          <w:lang w:val="en-US" w:eastAsia="zh-CN"/>
        </w:rPr>
        <w:t>内容、方法、工作流程</w:t>
      </w:r>
      <w:r>
        <w:rPr>
          <w:rFonts w:hint="eastAsia" w:ascii="仿宋_GB2312" w:hAnsi="宋体"/>
          <w:szCs w:val="28"/>
        </w:rPr>
        <w:t>等工作，为本标准条款的制定提供了实践依据和数据支撑。</w:t>
      </w:r>
    </w:p>
    <w:p w14:paraId="2469A6E0">
      <w:pPr>
        <w:spacing w:line="560" w:lineRule="exact"/>
        <w:ind w:firstLine="640"/>
        <w:rPr>
          <w:rFonts w:hint="eastAsia" w:ascii="仿宋_GB2312" w:hAnsi="宋体"/>
          <w:szCs w:val="28"/>
        </w:rPr>
      </w:pPr>
      <w:r>
        <w:rPr>
          <w:rFonts w:hint="eastAsia" w:ascii="仿宋_GB2312" w:hAnsi="宋体"/>
          <w:szCs w:val="28"/>
        </w:rPr>
        <w:t>在调研基础上，结合各起草单位的实践经验与专家意见，对</w:t>
      </w:r>
      <w:r>
        <w:rPr>
          <w:rFonts w:hint="eastAsia" w:ascii="仿宋_GB2312" w:hAnsi="宋体"/>
          <w:szCs w:val="28"/>
          <w:lang w:eastAsia="zh-CN"/>
        </w:rPr>
        <w:t>农业科普研学课程设计评价</w:t>
      </w:r>
      <w:r>
        <w:rPr>
          <w:rFonts w:hint="eastAsia" w:ascii="仿宋_GB2312" w:hAnsi="宋体"/>
          <w:szCs w:val="28"/>
        </w:rPr>
        <w:t>的实践情况进行系统总结，广西壮族自治区亚热带作物研究所召集相关人员开展了标准研讨会，对主要内容进行了讨论并对项目的工作进行了部署和安排。</w:t>
      </w:r>
    </w:p>
    <w:p w14:paraId="4AED0B1C">
      <w:pPr>
        <w:spacing w:line="560" w:lineRule="exact"/>
        <w:ind w:firstLine="640"/>
        <w:rPr>
          <w:rFonts w:hint="eastAsia" w:ascii="仿宋_GB2312" w:hAnsi="宋体" w:eastAsia="仿宋_GB2312"/>
          <w:szCs w:val="28"/>
          <w:lang w:eastAsia="zh-CN"/>
        </w:rPr>
      </w:pPr>
      <w:r>
        <w:rPr>
          <w:rFonts w:hint="eastAsia" w:ascii="仿宋_GB2312" w:hAnsi="宋体"/>
          <w:szCs w:val="28"/>
        </w:rPr>
        <w:t>为进一步验证评价指标的科学性与可操作性，标准编制组选取本单位的典型课程开展了系统的试点评价工作。评价工作严格遵循草案设计的“课程设计—</w:t>
      </w:r>
      <w:r>
        <w:rPr>
          <w:rFonts w:hint="eastAsia" w:ascii="仿宋_GB2312" w:hAnsi="宋体"/>
          <w:szCs w:val="28"/>
          <w:lang w:val="en-US" w:eastAsia="zh-CN"/>
        </w:rPr>
        <w:t>课程实施</w:t>
      </w:r>
      <w:r>
        <w:rPr>
          <w:rFonts w:hint="eastAsia" w:ascii="仿宋_GB2312" w:hAnsi="宋体"/>
          <w:szCs w:val="28"/>
        </w:rPr>
        <w:t>—</w:t>
      </w:r>
      <w:r>
        <w:rPr>
          <w:rFonts w:hint="eastAsia" w:ascii="仿宋_GB2312" w:hAnsi="宋体"/>
          <w:szCs w:val="28"/>
          <w:lang w:val="en-US" w:eastAsia="zh-CN"/>
        </w:rPr>
        <w:t>课程</w:t>
      </w:r>
      <w:r>
        <w:rPr>
          <w:rFonts w:hint="eastAsia" w:ascii="仿宋_GB2312" w:hAnsi="宋体"/>
          <w:szCs w:val="28"/>
        </w:rPr>
        <w:t>效果”三维度框架，采用查阅课程方案、随堂观察记录、学员与教师</w:t>
      </w:r>
      <w:r>
        <w:rPr>
          <w:rFonts w:hint="eastAsia" w:ascii="仿宋_GB2312" w:hAnsi="宋体"/>
          <w:szCs w:val="28"/>
          <w:lang w:val="en-US" w:eastAsia="zh-CN"/>
        </w:rPr>
        <w:t>满意度</w:t>
      </w:r>
      <w:r>
        <w:rPr>
          <w:rFonts w:hint="eastAsia" w:ascii="仿宋_GB2312" w:hAnsi="宋体"/>
          <w:szCs w:val="28"/>
        </w:rPr>
        <w:t>问卷调查、焦点小组访谈等多元方法收集数据</w:t>
      </w:r>
      <w:r>
        <w:rPr>
          <w:rFonts w:hint="eastAsia" w:ascii="仿宋_GB2312" w:hAnsi="宋体"/>
          <w:szCs w:val="28"/>
          <w:lang w:eastAsia="zh-CN"/>
        </w:rPr>
        <w:t>。</w:t>
      </w:r>
    </w:p>
    <w:p w14:paraId="0433B120">
      <w:pPr>
        <w:spacing w:line="560" w:lineRule="exact"/>
        <w:ind w:firstLine="640"/>
        <w:rPr>
          <w:rFonts w:hint="eastAsia" w:ascii="仿宋_GB2312" w:hAnsi="宋体"/>
          <w:szCs w:val="28"/>
        </w:rPr>
      </w:pPr>
      <w:r>
        <w:rPr>
          <w:rFonts w:hint="eastAsia" w:ascii="仿宋_GB2312" w:hAnsi="宋体"/>
          <w:szCs w:val="28"/>
        </w:rPr>
        <w:t>2025年</w:t>
      </w:r>
      <w:r>
        <w:rPr>
          <w:rFonts w:hint="eastAsia" w:ascii="仿宋_GB2312" w:hAnsi="宋体"/>
          <w:szCs w:val="28"/>
          <w:lang w:val="en-US" w:eastAsia="zh-CN"/>
        </w:rPr>
        <w:t>7</w:t>
      </w:r>
      <w:r>
        <w:rPr>
          <w:rFonts w:hint="eastAsia" w:ascii="仿宋_GB2312" w:hAnsi="宋体"/>
          <w:szCs w:val="28"/>
        </w:rPr>
        <w:t>月～</w:t>
      </w:r>
      <w:r>
        <w:rPr>
          <w:rFonts w:hint="eastAsia" w:ascii="仿宋_GB2312" w:hAnsi="宋体"/>
          <w:szCs w:val="28"/>
          <w:lang w:val="en-US" w:eastAsia="zh-CN"/>
        </w:rPr>
        <w:t>9</w:t>
      </w:r>
      <w:r>
        <w:rPr>
          <w:rFonts w:hint="eastAsia" w:ascii="仿宋_GB2312" w:hAnsi="宋体"/>
          <w:szCs w:val="28"/>
        </w:rPr>
        <w:t>月，在前期工作的基础之上，通过理清逻辑脉络，整合已有的参考资料中有关</w:t>
      </w:r>
      <w:r>
        <w:rPr>
          <w:rFonts w:hint="eastAsia" w:ascii="仿宋_GB2312" w:hAnsi="宋体"/>
          <w:szCs w:val="28"/>
          <w:lang w:val="en-US" w:eastAsia="zh-CN"/>
        </w:rPr>
        <w:t>研学课程评价、教学质量评价等</w:t>
      </w:r>
      <w:r>
        <w:rPr>
          <w:rFonts w:hint="eastAsia" w:ascii="仿宋_GB2312" w:hAnsi="宋体"/>
          <w:szCs w:val="28"/>
        </w:rPr>
        <w:t>要求，并结合</w:t>
      </w:r>
      <w:r>
        <w:rPr>
          <w:rFonts w:hint="eastAsia" w:ascii="仿宋_GB2312" w:hAnsi="宋体"/>
          <w:szCs w:val="28"/>
          <w:lang w:eastAsia="zh-CN"/>
        </w:rPr>
        <w:t>农业科普研学课程设计评价</w:t>
      </w:r>
      <w:r>
        <w:rPr>
          <w:rFonts w:hint="eastAsia" w:ascii="仿宋_GB2312" w:hAnsi="宋体"/>
          <w:szCs w:val="28"/>
        </w:rPr>
        <w:t>实际</w:t>
      </w:r>
      <w:r>
        <w:rPr>
          <w:rFonts w:hint="eastAsia" w:ascii="仿宋_GB2312" w:hAnsi="宋体"/>
          <w:szCs w:val="28"/>
          <w:lang w:val="en-US" w:eastAsia="zh-CN"/>
        </w:rPr>
        <w:t>开展情况</w:t>
      </w:r>
      <w:r>
        <w:rPr>
          <w:rFonts w:hint="eastAsia" w:ascii="仿宋_GB2312" w:hAnsi="宋体"/>
          <w:szCs w:val="28"/>
        </w:rPr>
        <w:t>的基础上，结合</w:t>
      </w:r>
      <w:r>
        <w:rPr>
          <w:rFonts w:hint="eastAsia" w:ascii="仿宋_GB2312" w:hAnsi="宋体"/>
          <w:szCs w:val="28"/>
          <w:lang w:val="en-US" w:eastAsia="zh-CN"/>
        </w:rPr>
        <w:t>以往</w:t>
      </w:r>
      <w:r>
        <w:rPr>
          <w:rFonts w:hint="eastAsia" w:ascii="仿宋_GB2312" w:hAnsi="宋体"/>
          <w:szCs w:val="28"/>
        </w:rPr>
        <w:t>评价</w:t>
      </w:r>
      <w:r>
        <w:rPr>
          <w:rFonts w:hint="eastAsia" w:ascii="仿宋_GB2312" w:hAnsi="宋体"/>
          <w:szCs w:val="28"/>
          <w:lang w:val="en-US" w:eastAsia="zh-CN"/>
        </w:rPr>
        <w:t>工作</w:t>
      </w:r>
      <w:r>
        <w:rPr>
          <w:rFonts w:hint="eastAsia" w:ascii="仿宋_GB2312" w:hAnsi="宋体"/>
          <w:szCs w:val="28"/>
        </w:rPr>
        <w:t>中发现的问题与经验</w:t>
      </w:r>
      <w:r>
        <w:rPr>
          <w:rFonts w:hint="eastAsia" w:ascii="仿宋_GB2312" w:hAnsi="宋体"/>
          <w:szCs w:val="28"/>
          <w:lang w:eastAsia="zh-CN"/>
        </w:rPr>
        <w:t>，</w:t>
      </w:r>
      <w:r>
        <w:rPr>
          <w:rFonts w:hint="eastAsia" w:ascii="仿宋_GB2312" w:hAnsi="宋体"/>
          <w:szCs w:val="28"/>
        </w:rPr>
        <w:t>按照简化、统一等原则编制完成团体标准</w:t>
      </w:r>
      <w:r>
        <w:rPr>
          <w:rFonts w:hint="eastAsia" w:ascii="仿宋_GB2312"/>
        </w:rPr>
        <w:t>《</w:t>
      </w:r>
      <w:r>
        <w:rPr>
          <w:rFonts w:hint="eastAsia" w:ascii="仿宋_GB2312"/>
          <w:lang w:eastAsia="zh-CN"/>
        </w:rPr>
        <w:t>农业科普研学课程设计评价规范</w:t>
      </w:r>
      <w:r>
        <w:rPr>
          <w:rFonts w:hint="eastAsia" w:ascii="仿宋_GB2312"/>
        </w:rPr>
        <w:t>》</w:t>
      </w:r>
      <w:r>
        <w:rPr>
          <w:rFonts w:hint="eastAsia" w:ascii="仿宋_GB2312" w:hAnsi="宋体"/>
          <w:szCs w:val="28"/>
        </w:rPr>
        <w:t>（草案）。</w:t>
      </w:r>
    </w:p>
    <w:p w14:paraId="4E1ED29E">
      <w:pPr>
        <w:spacing w:line="560" w:lineRule="exact"/>
        <w:ind w:firstLine="640"/>
        <w:jc w:val="left"/>
        <w:rPr>
          <w:rFonts w:hint="eastAsia" w:ascii="仿宋_GB2312" w:hAnsi="宋体"/>
          <w:szCs w:val="28"/>
        </w:rPr>
      </w:pPr>
      <w:r>
        <w:rPr>
          <w:rFonts w:hint="eastAsia" w:ascii="仿宋_GB2312" w:hAnsi="宋体"/>
          <w:szCs w:val="28"/>
        </w:rPr>
        <w:t>2025年</w:t>
      </w:r>
      <w:r>
        <w:rPr>
          <w:rFonts w:hint="eastAsia" w:ascii="仿宋_GB2312" w:hAnsi="宋体"/>
          <w:szCs w:val="28"/>
          <w:lang w:val="en-US" w:eastAsia="zh-CN"/>
        </w:rPr>
        <w:t>10</w:t>
      </w:r>
      <w:r>
        <w:rPr>
          <w:rFonts w:hint="eastAsia" w:ascii="仿宋_GB2312" w:hAnsi="宋体"/>
          <w:szCs w:val="28"/>
        </w:rPr>
        <w:t>月～</w:t>
      </w:r>
      <w:r>
        <w:rPr>
          <w:rFonts w:hint="eastAsia" w:ascii="仿宋_GB2312" w:hAnsi="宋体"/>
          <w:szCs w:val="28"/>
          <w:lang w:val="en-US" w:eastAsia="zh-CN"/>
        </w:rPr>
        <w:t>11</w:t>
      </w:r>
      <w:r>
        <w:rPr>
          <w:rFonts w:hint="eastAsia" w:ascii="仿宋_GB2312" w:hAnsi="宋体"/>
          <w:szCs w:val="28"/>
        </w:rPr>
        <w:t>月，标准起草工作组到</w:t>
      </w:r>
      <w:r>
        <w:rPr>
          <w:rFonts w:hint="eastAsia" w:ascii="仿宋_GB2312" w:hAnsi="宋体"/>
          <w:szCs w:val="28"/>
          <w:lang w:val="en-US" w:eastAsia="zh-CN"/>
        </w:rPr>
        <w:t>科普教育基地</w:t>
      </w:r>
      <w:r>
        <w:rPr>
          <w:rFonts w:hint="eastAsia" w:ascii="仿宋_GB2312" w:hAnsi="宋体"/>
          <w:szCs w:val="28"/>
        </w:rPr>
        <w:t>、研学基地、</w:t>
      </w:r>
      <w:r>
        <w:rPr>
          <w:rFonts w:hint="eastAsia" w:ascii="仿宋_GB2312" w:hAnsi="宋体"/>
          <w:szCs w:val="28"/>
          <w:lang w:val="en-US" w:eastAsia="zh-CN"/>
        </w:rPr>
        <w:t>劳动教育基地</w:t>
      </w:r>
      <w:r>
        <w:rPr>
          <w:rFonts w:hint="eastAsia" w:ascii="仿宋_GB2312" w:hAnsi="宋体"/>
          <w:szCs w:val="28"/>
        </w:rPr>
        <w:t>、农科院所、科技馆</w:t>
      </w:r>
      <w:r>
        <w:rPr>
          <w:rFonts w:hint="eastAsia" w:ascii="仿宋_GB2312" w:hAnsi="宋体"/>
          <w:szCs w:val="28"/>
          <w:lang w:eastAsia="zh-CN"/>
        </w:rPr>
        <w:t>、</w:t>
      </w:r>
      <w:r>
        <w:rPr>
          <w:rFonts w:hint="eastAsia" w:ascii="仿宋_GB2312" w:hAnsi="宋体"/>
          <w:szCs w:val="28"/>
          <w:lang w:val="en-US" w:eastAsia="zh-CN"/>
        </w:rPr>
        <w:t>博物馆</w:t>
      </w:r>
      <w:r>
        <w:rPr>
          <w:rFonts w:hint="eastAsia" w:ascii="仿宋_GB2312" w:hAnsi="宋体"/>
          <w:szCs w:val="28"/>
        </w:rPr>
        <w:t>等</w:t>
      </w:r>
      <w:r>
        <w:rPr>
          <w:rFonts w:ascii="仿宋_GB2312" w:hAnsi="宋体"/>
          <w:szCs w:val="28"/>
        </w:rPr>
        <w:t>相关单位和科研机构进行调研，开展试验验证</w:t>
      </w:r>
      <w:r>
        <w:rPr>
          <w:rFonts w:hint="eastAsia" w:ascii="仿宋_GB2312" w:hAnsi="宋体"/>
          <w:szCs w:val="28"/>
        </w:rPr>
        <w:t>；并征求广西标准化协会、农业农村部科技发展中心、云南省热带作物科学研究所</w:t>
      </w:r>
      <w:r>
        <w:rPr>
          <w:rFonts w:ascii="仿宋_GB2312" w:hAnsi="宋体"/>
          <w:szCs w:val="28"/>
        </w:rPr>
        <w:t>等</w:t>
      </w:r>
      <w:r>
        <w:rPr>
          <w:rFonts w:hint="eastAsia" w:ascii="仿宋_GB2312" w:hAnsi="宋体"/>
          <w:szCs w:val="28"/>
        </w:rPr>
        <w:t>单位</w:t>
      </w:r>
      <w:r>
        <w:rPr>
          <w:rFonts w:ascii="仿宋_GB2312" w:hAnsi="宋体"/>
          <w:szCs w:val="28"/>
        </w:rPr>
        <w:t>的</w:t>
      </w:r>
      <w:r>
        <w:rPr>
          <w:rFonts w:hint="eastAsia" w:ascii="仿宋_GB2312" w:hAnsi="宋体"/>
          <w:szCs w:val="28"/>
        </w:rPr>
        <w:t>意见，通过收集反馈了大量意见，标准编制组多次召开会议，对标准草案进行了反复修改和研究讨论。进一步讨论完善标准草案，形成团体标准</w:t>
      </w:r>
      <w:r>
        <w:rPr>
          <w:rFonts w:hint="eastAsia" w:ascii="仿宋_GB2312"/>
        </w:rPr>
        <w:t>《</w:t>
      </w:r>
      <w:r>
        <w:rPr>
          <w:rFonts w:hint="eastAsia" w:ascii="仿宋_GB2312"/>
          <w:lang w:eastAsia="zh-CN"/>
        </w:rPr>
        <w:t>农业科普研学课程设计评价规范</w:t>
      </w:r>
      <w:r>
        <w:rPr>
          <w:rFonts w:hint="eastAsia" w:ascii="仿宋_GB2312"/>
        </w:rPr>
        <w:t>》</w:t>
      </w:r>
      <w:r>
        <w:rPr>
          <w:rFonts w:hint="eastAsia" w:ascii="仿宋_GB2312" w:hAnsi="宋体"/>
          <w:szCs w:val="28"/>
        </w:rPr>
        <w:t>（征求意见稿）和（征求意见稿）编制说明。</w:t>
      </w:r>
    </w:p>
    <w:p w14:paraId="0F82E7DE">
      <w:pPr>
        <w:pStyle w:val="15"/>
        <w:tabs>
          <w:tab w:val="center" w:pos="4539"/>
          <w:tab w:val="left" w:pos="7656"/>
        </w:tabs>
        <w:ind w:firstLine="0" w:firstLineChars="0"/>
        <w:jc w:val="center"/>
        <w:rPr>
          <w:rFonts w:ascii="宋体" w:hAnsi="宋体" w:eastAsia="宋体" w:cs="宋体"/>
          <w:sz w:val="24"/>
          <w:szCs w:val="24"/>
        </w:rPr>
      </w:pPr>
      <w:r>
        <w:rPr>
          <w:rFonts w:ascii="宋体" w:hAnsi="宋体" w:eastAsia="宋体" w:cs="宋体"/>
          <w:sz w:val="24"/>
          <w:szCs w:val="24"/>
        </w:rPr>
        <w:drawing>
          <wp:inline distT="0" distB="0" distL="114300" distR="114300">
            <wp:extent cx="4712970" cy="3137535"/>
            <wp:effectExtent l="0" t="0" r="1905" b="5715"/>
            <wp:docPr id="5"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descr="IMG_256"/>
                    <pic:cNvPicPr>
                      <a:picLocks noChangeAspect="1"/>
                    </pic:cNvPicPr>
                  </pic:nvPicPr>
                  <pic:blipFill>
                    <a:blip r:embed="rId9"/>
                    <a:stretch>
                      <a:fillRect/>
                    </a:stretch>
                  </pic:blipFill>
                  <pic:spPr>
                    <a:xfrm>
                      <a:off x="0" y="0"/>
                      <a:ext cx="4712970" cy="3137535"/>
                    </a:xfrm>
                    <a:prstGeom prst="rect">
                      <a:avLst/>
                    </a:prstGeom>
                    <a:noFill/>
                    <a:ln w="9525">
                      <a:noFill/>
                    </a:ln>
                  </pic:spPr>
                </pic:pic>
              </a:graphicData>
            </a:graphic>
          </wp:inline>
        </w:drawing>
      </w:r>
    </w:p>
    <w:p w14:paraId="30D02CEA">
      <w:pPr>
        <w:pStyle w:val="2"/>
        <w:tabs>
          <w:tab w:val="center" w:pos="4539"/>
          <w:tab w:val="left" w:pos="7656"/>
        </w:tabs>
        <w:ind w:firstLine="0" w:firstLineChars="0"/>
        <w:jc w:val="center"/>
        <w:rPr>
          <w:rFonts w:hint="eastAsia" w:ascii="宋体" w:hAnsi="宋体" w:eastAsia="黑体" w:cs="宋体"/>
          <w:sz w:val="24"/>
          <w:szCs w:val="24"/>
          <w:lang w:val="en-US" w:eastAsia="zh-CN"/>
        </w:rPr>
      </w:pPr>
      <w:r>
        <w:t xml:space="preserve">图 </w:t>
      </w:r>
      <w:r>
        <w:fldChar w:fldCharType="begin"/>
      </w:r>
      <w:r>
        <w:instrText xml:space="preserve"> SEQ 图 \* ARABIC </w:instrText>
      </w:r>
      <w:r>
        <w:fldChar w:fldCharType="separate"/>
      </w:r>
      <w:r>
        <w:t>1</w:t>
      </w:r>
      <w:r>
        <w:fldChar w:fldCharType="end"/>
      </w:r>
      <w:r>
        <w:rPr>
          <w:rFonts w:hint="eastAsia"/>
          <w:lang w:val="en-US" w:eastAsia="zh-CN"/>
        </w:rPr>
        <w:t xml:space="preserve"> 广西热作所开展研学活动</w:t>
      </w:r>
    </w:p>
    <w:p w14:paraId="6865AB29">
      <w:pPr>
        <w:pStyle w:val="15"/>
        <w:tabs>
          <w:tab w:val="center" w:pos="4539"/>
          <w:tab w:val="left" w:pos="7656"/>
        </w:tabs>
        <w:ind w:firstLine="0" w:firstLineChars="0"/>
        <w:jc w:val="center"/>
      </w:pPr>
      <w:r>
        <w:drawing>
          <wp:inline distT="0" distB="0" distL="114300" distR="114300">
            <wp:extent cx="4591050" cy="3443605"/>
            <wp:effectExtent l="0" t="0" r="0" b="4445"/>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10"/>
                    <a:stretch>
                      <a:fillRect/>
                    </a:stretch>
                  </pic:blipFill>
                  <pic:spPr>
                    <a:xfrm>
                      <a:off x="0" y="0"/>
                      <a:ext cx="4591050" cy="3443605"/>
                    </a:xfrm>
                    <a:prstGeom prst="rect">
                      <a:avLst/>
                    </a:prstGeom>
                    <a:noFill/>
                    <a:ln>
                      <a:noFill/>
                    </a:ln>
                  </pic:spPr>
                </pic:pic>
              </a:graphicData>
            </a:graphic>
          </wp:inline>
        </w:drawing>
      </w:r>
    </w:p>
    <w:p w14:paraId="65C5C129">
      <w:pPr>
        <w:pStyle w:val="2"/>
        <w:tabs>
          <w:tab w:val="center" w:pos="4539"/>
          <w:tab w:val="left" w:pos="7656"/>
        </w:tabs>
        <w:ind w:firstLine="0" w:firstLineChars="0"/>
        <w:jc w:val="center"/>
        <w:rPr>
          <w:rFonts w:hint="eastAsia" w:eastAsia="黑体"/>
          <w:lang w:val="en-US" w:eastAsia="zh-CN"/>
        </w:rPr>
      </w:pPr>
      <w:r>
        <w:t xml:space="preserve">图 </w:t>
      </w:r>
      <w:r>
        <w:fldChar w:fldCharType="begin"/>
      </w:r>
      <w:r>
        <w:instrText xml:space="preserve"> SEQ 图 \* ARABIC </w:instrText>
      </w:r>
      <w:r>
        <w:fldChar w:fldCharType="separate"/>
      </w:r>
      <w:r>
        <w:t>2</w:t>
      </w:r>
      <w:r>
        <w:fldChar w:fldCharType="end"/>
      </w:r>
      <w:r>
        <w:rPr>
          <w:rFonts w:hint="eastAsia"/>
          <w:lang w:val="en-US" w:eastAsia="zh-CN"/>
        </w:rPr>
        <w:t xml:space="preserve"> 编制组成员在武汉植物园开展研学课程评价调研</w:t>
      </w:r>
    </w:p>
    <w:p w14:paraId="43F9050D">
      <w:pPr>
        <w:autoSpaceDE/>
        <w:autoSpaceDN/>
        <w:adjustRightInd w:val="0"/>
        <w:ind w:left="0" w:leftChars="0" w:firstLine="0" w:firstLineChars="0"/>
        <w:jc w:val="center"/>
        <w:outlineLvl w:val="9"/>
      </w:pPr>
      <w:bookmarkStart w:id="0" w:name="_Toc526940083"/>
      <w:r>
        <w:drawing>
          <wp:inline distT="0" distB="0" distL="114300" distR="114300">
            <wp:extent cx="4662170" cy="3496945"/>
            <wp:effectExtent l="0" t="0" r="5080" b="8255"/>
            <wp:docPr id="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
                    <pic:cNvPicPr>
                      <a:picLocks noChangeAspect="1"/>
                    </pic:cNvPicPr>
                  </pic:nvPicPr>
                  <pic:blipFill>
                    <a:blip r:embed="rId11"/>
                    <a:stretch>
                      <a:fillRect/>
                    </a:stretch>
                  </pic:blipFill>
                  <pic:spPr>
                    <a:xfrm>
                      <a:off x="0" y="0"/>
                      <a:ext cx="4662170" cy="3496945"/>
                    </a:xfrm>
                    <a:prstGeom prst="rect">
                      <a:avLst/>
                    </a:prstGeom>
                    <a:noFill/>
                    <a:ln>
                      <a:noFill/>
                    </a:ln>
                  </pic:spPr>
                </pic:pic>
              </a:graphicData>
            </a:graphic>
          </wp:inline>
        </w:drawing>
      </w:r>
    </w:p>
    <w:p w14:paraId="0C7AF38A">
      <w:pPr>
        <w:pStyle w:val="2"/>
        <w:autoSpaceDE/>
        <w:autoSpaceDN/>
        <w:adjustRightInd w:val="0"/>
        <w:ind w:firstLine="640"/>
        <w:jc w:val="center"/>
        <w:outlineLvl w:val="9"/>
        <w:rPr>
          <w:rFonts w:hint="eastAsia" w:eastAsia="黑体"/>
          <w:lang w:val="en-US" w:eastAsia="zh-CN"/>
        </w:rPr>
      </w:pPr>
      <w:r>
        <w:t xml:space="preserve">图 </w:t>
      </w:r>
      <w:r>
        <w:fldChar w:fldCharType="begin"/>
      </w:r>
      <w:r>
        <w:instrText xml:space="preserve"> SEQ 图 \* ARABIC </w:instrText>
      </w:r>
      <w:r>
        <w:fldChar w:fldCharType="separate"/>
      </w:r>
      <w:r>
        <w:t>3</w:t>
      </w:r>
      <w:r>
        <w:fldChar w:fldCharType="end"/>
      </w:r>
      <w:r>
        <w:rPr>
          <w:rFonts w:hint="eastAsia"/>
          <w:lang w:val="en-US" w:eastAsia="zh-CN"/>
        </w:rPr>
        <w:t xml:space="preserve"> 编制组成员在广西科技馆开展研学课程评价调研</w:t>
      </w:r>
    </w:p>
    <w:p w14:paraId="683F23F6">
      <w:pPr>
        <w:autoSpaceDE w:val="0"/>
        <w:autoSpaceDN w:val="0"/>
        <w:adjustRightInd w:val="0"/>
        <w:ind w:firstLine="640"/>
        <w:jc w:val="left"/>
        <w:outlineLvl w:val="0"/>
        <w:rPr>
          <w:rFonts w:eastAsia="黑体"/>
          <w:bCs/>
          <w:szCs w:val="32"/>
        </w:rPr>
      </w:pPr>
      <w:r>
        <w:rPr>
          <w:rFonts w:eastAsia="黑体"/>
          <w:bCs/>
          <w:szCs w:val="32"/>
        </w:rPr>
        <w:t>四、</w:t>
      </w:r>
      <w:bookmarkEnd w:id="0"/>
      <w:r>
        <w:rPr>
          <w:rFonts w:eastAsia="黑体"/>
          <w:bCs/>
          <w:szCs w:val="32"/>
        </w:rPr>
        <w:t>制定标准的原则和依据，与现行法律、法规的关系，与有关国家标准、行业标准的协调情况</w:t>
      </w:r>
    </w:p>
    <w:p w14:paraId="595389A1">
      <w:pPr>
        <w:pStyle w:val="16"/>
        <w:spacing w:line="560" w:lineRule="exact"/>
        <w:ind w:firstLine="643"/>
        <w:outlineLvl w:val="1"/>
        <w:rPr>
          <w:rFonts w:ascii="Times New Roman" w:eastAsia="仿宋"/>
          <w:b/>
          <w:bCs/>
          <w:sz w:val="32"/>
          <w:szCs w:val="32"/>
        </w:rPr>
      </w:pPr>
      <w:r>
        <w:rPr>
          <w:rFonts w:ascii="Times New Roman" w:eastAsia="仿宋"/>
          <w:b/>
          <w:bCs/>
          <w:sz w:val="32"/>
          <w:szCs w:val="32"/>
        </w:rPr>
        <w:t>（一）编制原则</w:t>
      </w:r>
    </w:p>
    <w:p w14:paraId="74D3C997">
      <w:pPr>
        <w:tabs>
          <w:tab w:val="center" w:pos="4201"/>
          <w:tab w:val="right" w:leader="dot" w:pos="9298"/>
        </w:tabs>
        <w:autoSpaceDE w:val="0"/>
        <w:autoSpaceDN w:val="0"/>
        <w:ind w:firstLine="643"/>
        <w:outlineLvl w:val="2"/>
        <w:rPr>
          <w:rFonts w:eastAsia="仿宋"/>
          <w:b/>
          <w:bCs/>
          <w:kern w:val="0"/>
          <w:szCs w:val="32"/>
        </w:rPr>
      </w:pPr>
      <w:r>
        <w:rPr>
          <w:rFonts w:eastAsia="仿宋"/>
          <w:b/>
          <w:bCs/>
          <w:kern w:val="0"/>
          <w:szCs w:val="32"/>
        </w:rPr>
        <w:t>1</w:t>
      </w:r>
      <w:r>
        <w:rPr>
          <w:rFonts w:hint="eastAsia" w:eastAsia="仿宋"/>
          <w:b/>
          <w:bCs/>
          <w:kern w:val="0"/>
          <w:szCs w:val="32"/>
        </w:rPr>
        <w:t>.</w:t>
      </w:r>
      <w:r>
        <w:rPr>
          <w:rFonts w:eastAsia="仿宋"/>
          <w:b/>
          <w:bCs/>
          <w:kern w:val="0"/>
          <w:szCs w:val="32"/>
        </w:rPr>
        <w:t>实用性原则</w:t>
      </w:r>
    </w:p>
    <w:p w14:paraId="7BE99977">
      <w:pPr>
        <w:spacing w:line="560" w:lineRule="exact"/>
        <w:ind w:firstLine="640"/>
        <w:rPr>
          <w:rFonts w:hint="eastAsia" w:ascii="仿宋_GB2312" w:hAnsi="宋体"/>
          <w:szCs w:val="28"/>
        </w:rPr>
      </w:pPr>
      <w:r>
        <w:rPr>
          <w:rFonts w:hint="eastAsia" w:ascii="仿宋_GB2312" w:hAnsi="宋体"/>
          <w:szCs w:val="28"/>
        </w:rPr>
        <w:t>本文件是在充分收集相关资料和文献，分析</w:t>
      </w:r>
      <w:r>
        <w:rPr>
          <w:rFonts w:hint="eastAsia" w:ascii="仿宋_GB2312"/>
          <w:lang w:eastAsia="zh-CN"/>
        </w:rPr>
        <w:t>农业科普研学课程设计评价</w:t>
      </w:r>
      <w:r>
        <w:rPr>
          <w:rFonts w:hint="eastAsia" w:ascii="仿宋_GB2312" w:hAnsi="宋体"/>
          <w:szCs w:val="28"/>
        </w:rPr>
        <w:t>当前现状，在现有相关</w:t>
      </w:r>
      <w:r>
        <w:rPr>
          <w:rFonts w:hint="eastAsia" w:ascii="仿宋_GB2312" w:hAnsi="宋体"/>
          <w:szCs w:val="28"/>
          <w:lang w:eastAsia="zh-CN"/>
        </w:rPr>
        <w:t>研学课程评价</w:t>
      </w:r>
      <w:r>
        <w:rPr>
          <w:rFonts w:hint="eastAsia" w:ascii="仿宋_GB2312" w:hAnsi="宋体"/>
          <w:szCs w:val="28"/>
        </w:rPr>
        <w:t>要求的基础上，结合标准编制组相关经验而总结起草的，符合当前</w:t>
      </w:r>
      <w:r>
        <w:rPr>
          <w:rFonts w:hint="eastAsia" w:ascii="仿宋_GB2312"/>
          <w:lang w:eastAsia="zh-CN"/>
        </w:rPr>
        <w:t>农业科普研学课程设计评价</w:t>
      </w:r>
      <w:r>
        <w:rPr>
          <w:rFonts w:hint="eastAsia" w:ascii="仿宋_GB2312" w:hAnsi="宋体"/>
          <w:szCs w:val="28"/>
        </w:rPr>
        <w:t>发展的方向，具有较强的实用性和可操作性。</w:t>
      </w:r>
    </w:p>
    <w:p w14:paraId="4BB174EC">
      <w:pPr>
        <w:tabs>
          <w:tab w:val="center" w:pos="4201"/>
          <w:tab w:val="right" w:leader="dot" w:pos="9298"/>
        </w:tabs>
        <w:autoSpaceDE w:val="0"/>
        <w:autoSpaceDN w:val="0"/>
        <w:spacing w:line="560" w:lineRule="exact"/>
        <w:ind w:firstLine="643"/>
        <w:outlineLvl w:val="2"/>
        <w:rPr>
          <w:rFonts w:eastAsia="仿宋"/>
          <w:b/>
          <w:bCs/>
          <w:kern w:val="0"/>
          <w:szCs w:val="32"/>
        </w:rPr>
      </w:pPr>
      <w:r>
        <w:rPr>
          <w:rFonts w:hint="eastAsia" w:eastAsia="仿宋"/>
          <w:b/>
          <w:bCs/>
          <w:kern w:val="0"/>
          <w:szCs w:val="32"/>
        </w:rPr>
        <w:t>2.协调性原则</w:t>
      </w:r>
    </w:p>
    <w:p w14:paraId="71DF63F6">
      <w:pPr>
        <w:spacing w:line="560" w:lineRule="exact"/>
        <w:ind w:firstLine="640"/>
        <w:rPr>
          <w:rFonts w:hint="eastAsia" w:ascii="仿宋_GB2312" w:hAnsi="宋体"/>
          <w:szCs w:val="28"/>
        </w:rPr>
      </w:pPr>
      <w:r>
        <w:rPr>
          <w:rFonts w:hint="eastAsia" w:ascii="仿宋_GB2312" w:hAnsi="宋体"/>
          <w:szCs w:val="28"/>
        </w:rPr>
        <w:t>本文件编写过程中注意了与</w:t>
      </w:r>
      <w:r>
        <w:rPr>
          <w:rFonts w:hint="eastAsia" w:ascii="仿宋_GB2312"/>
          <w:lang w:eastAsia="zh-CN"/>
        </w:rPr>
        <w:t>农业科普研学课程设计评价</w:t>
      </w:r>
      <w:r>
        <w:rPr>
          <w:rFonts w:hint="eastAsia" w:ascii="仿宋_GB2312" w:hAnsi="宋体"/>
          <w:szCs w:val="28"/>
        </w:rPr>
        <w:t>相关法律法规的协调问题，在内容上与现行法律法规、标准协调一致。</w:t>
      </w:r>
    </w:p>
    <w:p w14:paraId="220AD998">
      <w:pPr>
        <w:tabs>
          <w:tab w:val="center" w:pos="4201"/>
          <w:tab w:val="right" w:leader="dot" w:pos="9298"/>
        </w:tabs>
        <w:autoSpaceDE w:val="0"/>
        <w:autoSpaceDN w:val="0"/>
        <w:spacing w:line="560" w:lineRule="exact"/>
        <w:ind w:firstLine="643"/>
        <w:outlineLvl w:val="2"/>
        <w:rPr>
          <w:rFonts w:eastAsia="仿宋"/>
          <w:b/>
          <w:bCs/>
          <w:kern w:val="0"/>
          <w:szCs w:val="32"/>
        </w:rPr>
      </w:pPr>
      <w:r>
        <w:rPr>
          <w:rFonts w:hint="eastAsia" w:eastAsia="仿宋"/>
          <w:b/>
          <w:bCs/>
          <w:kern w:val="0"/>
          <w:szCs w:val="32"/>
        </w:rPr>
        <w:t>3.规范性原则</w:t>
      </w:r>
    </w:p>
    <w:p w14:paraId="154A4E33">
      <w:pPr>
        <w:spacing w:line="560" w:lineRule="exact"/>
        <w:ind w:firstLine="640"/>
        <w:rPr>
          <w:rFonts w:hint="eastAsia" w:ascii="仿宋_GB2312" w:hAnsi="宋体"/>
          <w:szCs w:val="28"/>
        </w:rPr>
      </w:pPr>
      <w:r>
        <w:rPr>
          <w:rFonts w:hint="eastAsia" w:ascii="仿宋_GB2312" w:hAnsi="宋体"/>
          <w:szCs w:val="28"/>
        </w:rPr>
        <w:t>本文件严格参照GB/T 1.1—2020《标准化工作导则  第1部分：标准化文件的结构和起草规则》编写本标准的内容，保证标准的编写质量。</w:t>
      </w:r>
    </w:p>
    <w:p w14:paraId="5EA6B3EC">
      <w:pPr>
        <w:tabs>
          <w:tab w:val="center" w:pos="4201"/>
          <w:tab w:val="right" w:leader="dot" w:pos="9298"/>
        </w:tabs>
        <w:autoSpaceDE w:val="0"/>
        <w:autoSpaceDN w:val="0"/>
        <w:spacing w:line="560" w:lineRule="exact"/>
        <w:ind w:firstLine="643"/>
        <w:outlineLvl w:val="2"/>
        <w:rPr>
          <w:rFonts w:eastAsia="仿宋"/>
          <w:b/>
          <w:bCs/>
          <w:kern w:val="0"/>
          <w:szCs w:val="32"/>
        </w:rPr>
      </w:pPr>
      <w:r>
        <w:rPr>
          <w:rFonts w:hint="eastAsia" w:eastAsia="仿宋"/>
          <w:b/>
          <w:bCs/>
          <w:kern w:val="0"/>
          <w:szCs w:val="32"/>
        </w:rPr>
        <w:t>4.前瞻性原则</w:t>
      </w:r>
    </w:p>
    <w:p w14:paraId="3C5143D2">
      <w:pPr>
        <w:spacing w:line="560" w:lineRule="exact"/>
        <w:ind w:firstLine="640"/>
        <w:rPr>
          <w:rFonts w:hint="eastAsia" w:ascii="仿宋_GB2312" w:hAnsi="宋体"/>
          <w:szCs w:val="28"/>
        </w:rPr>
      </w:pPr>
      <w:r>
        <w:rPr>
          <w:rFonts w:hint="eastAsia" w:ascii="仿宋_GB2312" w:hAnsi="宋体"/>
          <w:szCs w:val="28"/>
        </w:rPr>
        <w:t>本文件在兼顾当前</w:t>
      </w:r>
      <w:r>
        <w:rPr>
          <w:rFonts w:hint="eastAsia" w:ascii="仿宋_GB2312"/>
          <w:lang w:eastAsia="zh-CN"/>
        </w:rPr>
        <w:t>农业科普研学课程设计评价</w:t>
      </w:r>
      <w:r>
        <w:rPr>
          <w:rFonts w:hint="eastAsia" w:ascii="仿宋_GB2312" w:hAnsi="宋体"/>
          <w:szCs w:val="28"/>
        </w:rPr>
        <w:t>现实情况的同时，还考虑到了</w:t>
      </w:r>
      <w:r>
        <w:rPr>
          <w:rFonts w:hint="eastAsia" w:ascii="仿宋_GB2312"/>
          <w:lang w:eastAsia="zh-CN"/>
        </w:rPr>
        <w:t>农业科普研学课程设计评价</w:t>
      </w:r>
      <w:r>
        <w:rPr>
          <w:rFonts w:hint="eastAsia" w:ascii="仿宋_GB2312" w:hAnsi="宋体"/>
          <w:szCs w:val="28"/>
        </w:rPr>
        <w:t>快速发展的趋势和需要，在标准中体现了个别特色性、前瞻性和先进性条款，作为对</w:t>
      </w:r>
      <w:r>
        <w:rPr>
          <w:rFonts w:hint="eastAsia" w:ascii="仿宋_GB2312"/>
          <w:lang w:eastAsia="zh-CN"/>
        </w:rPr>
        <w:t>农业科普研学课程设计评价</w:t>
      </w:r>
      <w:r>
        <w:rPr>
          <w:rFonts w:hint="eastAsia" w:ascii="仿宋_GB2312" w:hAnsi="宋体"/>
          <w:szCs w:val="28"/>
        </w:rPr>
        <w:t>发展的指导。</w:t>
      </w:r>
    </w:p>
    <w:p w14:paraId="14A39606">
      <w:pPr>
        <w:widowControl/>
        <w:tabs>
          <w:tab w:val="center" w:pos="4201"/>
          <w:tab w:val="right" w:leader="dot" w:pos="9298"/>
        </w:tabs>
        <w:autoSpaceDE w:val="0"/>
        <w:autoSpaceDN w:val="0"/>
        <w:spacing w:line="560" w:lineRule="exact"/>
        <w:ind w:firstLine="643"/>
        <w:outlineLvl w:val="1"/>
        <w:rPr>
          <w:rFonts w:eastAsia="仿宋"/>
          <w:b/>
          <w:bCs/>
          <w:kern w:val="0"/>
          <w:szCs w:val="32"/>
        </w:rPr>
      </w:pPr>
      <w:r>
        <w:rPr>
          <w:rFonts w:eastAsia="仿宋"/>
          <w:b/>
          <w:bCs/>
          <w:kern w:val="0"/>
          <w:szCs w:val="32"/>
        </w:rPr>
        <w:t>（二）编制依据</w:t>
      </w:r>
    </w:p>
    <w:p w14:paraId="62BF29A3">
      <w:pPr>
        <w:spacing w:line="560" w:lineRule="exact"/>
        <w:ind w:firstLine="640"/>
        <w:rPr>
          <w:rFonts w:hint="eastAsia" w:ascii="仿宋_GB2312" w:hAnsi="宋体"/>
          <w:szCs w:val="28"/>
        </w:rPr>
      </w:pPr>
      <w:r>
        <w:rPr>
          <w:rFonts w:hint="eastAsia" w:ascii="仿宋_GB2312" w:hAnsi="宋体"/>
          <w:szCs w:val="28"/>
        </w:rPr>
        <w:t>本标准严格按照</w:t>
      </w:r>
      <w:r>
        <w:rPr>
          <w:rFonts w:eastAsia="仿宋"/>
          <w:szCs w:val="32"/>
        </w:rPr>
        <w:t>GB/T 1.1—2020</w:t>
      </w:r>
      <w:r>
        <w:rPr>
          <w:rFonts w:hint="eastAsia" w:ascii="仿宋_GB2312" w:hAnsi="宋体"/>
          <w:szCs w:val="28"/>
        </w:rPr>
        <w:t xml:space="preserve">《标准化工作导则 </w:t>
      </w:r>
      <w:r>
        <w:rPr>
          <w:rFonts w:eastAsia="仿宋"/>
          <w:szCs w:val="32"/>
        </w:rPr>
        <w:t xml:space="preserve"> </w:t>
      </w:r>
      <w:r>
        <w:rPr>
          <w:rFonts w:hint="eastAsia" w:ascii="仿宋_GB2312" w:hAnsi="宋体"/>
          <w:szCs w:val="28"/>
        </w:rPr>
        <w:t>第1部分：标准化文件的结构和起草规则》的规则起草，标准主要内容参考相关标准文件并结合起草单位的相关经验和实践验证情况总结进行起草。</w:t>
      </w:r>
    </w:p>
    <w:p w14:paraId="013ADA1B">
      <w:pPr>
        <w:keepNext w:val="0"/>
        <w:keepLines w:val="0"/>
        <w:pageBreakBefore w:val="0"/>
        <w:widowControl/>
        <w:suppressLineNumbers w:val="0"/>
        <w:kinsoku/>
        <w:wordWrap/>
        <w:overflowPunct/>
        <w:topLinePunct w:val="0"/>
        <w:autoSpaceDE/>
        <w:autoSpaceDN/>
        <w:bidi w:val="0"/>
        <w:adjustRightInd/>
        <w:snapToGrid w:val="0"/>
        <w:spacing w:line="560" w:lineRule="exact"/>
        <w:ind w:firstLine="640" w:firstLineChars="200"/>
        <w:jc w:val="both"/>
        <w:textAlignment w:val="auto"/>
        <w:rPr>
          <w:rFonts w:hint="eastAsia" w:ascii="仿宋_GB2312" w:hAnsi="仿宋_GB2312" w:cs="仿宋_GB2312"/>
          <w:b/>
          <w:bCs/>
          <w:color w:val="000000"/>
          <w:kern w:val="0"/>
          <w:sz w:val="32"/>
          <w:szCs w:val="32"/>
          <w:lang w:val="en-US" w:eastAsia="zh-CN" w:bidi="ar"/>
        </w:rPr>
      </w:pPr>
      <w:r>
        <w:rPr>
          <w:rFonts w:hint="eastAsia" w:ascii="仿宋_GB2312" w:hAnsi="仿宋_GB2312" w:eastAsia="仿宋_GB2312" w:cs="仿宋_GB2312"/>
          <w:color w:val="000000"/>
          <w:kern w:val="0"/>
          <w:sz w:val="32"/>
          <w:szCs w:val="32"/>
          <w:lang w:val="en-US" w:eastAsia="zh-CN" w:bidi="ar"/>
        </w:rPr>
        <w:t>广西壮族自治区亚热带作物研究所（下称广西热作所），是广西农业科学院直属的从事杧果、澳洲坚果、茶叶、木薯、花卉、甘蔗、剑麻等热带、亚热带作物种质资源收集保存、良种选育繁育、丰产栽培、科普研究、环境与植物保护、贮藏保鲜、加工技术及中试示范、综合开发新技术等方面的研究和相关技术咨询的公益性事业单位。</w:t>
      </w:r>
      <w:r>
        <w:rPr>
          <w:rFonts w:hint="eastAsia" w:ascii="仿宋_GB2312" w:hAnsi="宋体"/>
          <w:szCs w:val="32"/>
          <w:lang w:val="zh-CN"/>
        </w:rPr>
        <w:t>广西热作所内的热作所（东盟）亚热带植物园是全国科普教育基地、全国热带作物科普基地、</w:t>
      </w:r>
      <w:r>
        <w:rPr>
          <w:rFonts w:hint="eastAsia" w:ascii="仿宋_GB2312" w:hAnsi="宋体"/>
          <w:szCs w:val="32"/>
          <w:lang w:val="en-US" w:eastAsia="zh-CN"/>
        </w:rPr>
        <w:t>广西壮族自治区科普教育基地、</w:t>
      </w:r>
      <w:r>
        <w:rPr>
          <w:rFonts w:hint="eastAsia" w:ascii="仿宋_GB2312" w:hAnsi="宋体"/>
          <w:szCs w:val="32"/>
          <w:lang w:val="zh-CN"/>
        </w:rPr>
        <w:t>广西中小学劳动教育实践基地、</w:t>
      </w:r>
      <w:r>
        <w:rPr>
          <w:rFonts w:hint="eastAsia" w:ascii="仿宋_GB2312" w:hAnsi="宋体"/>
          <w:szCs w:val="32"/>
          <w:lang w:val="en-US" w:eastAsia="zh-CN"/>
        </w:rPr>
        <w:t>南宁市中小学研学实践教育基地、</w:t>
      </w:r>
      <w:r>
        <w:rPr>
          <w:rFonts w:hint="eastAsia" w:ascii="仿宋_GB2312" w:hAnsi="宋体"/>
          <w:szCs w:val="32"/>
          <w:lang w:val="zh-CN"/>
        </w:rPr>
        <w:t>南宁市中小学劳动教育实践基地。</w:t>
      </w:r>
      <w:r>
        <w:rPr>
          <w:rFonts w:hint="eastAsia" w:ascii="仿宋_GB2312" w:hAnsi="仿宋_GB2312" w:eastAsia="仿宋_GB2312" w:cs="仿宋_GB2312"/>
          <w:b/>
          <w:bCs/>
          <w:color w:val="000000"/>
          <w:kern w:val="0"/>
          <w:sz w:val="32"/>
          <w:szCs w:val="32"/>
          <w:lang w:val="en-US" w:eastAsia="zh-CN" w:bidi="ar"/>
        </w:rPr>
        <w:t>广西热作所主持或参与制订、修订标准50余项，例如“热带作物品种审定规范”、“剑麻纤维”国家标准的修订“广西优质野生红茶”团体标准等，这些标准涵盖了热带作物的多个领域，包括但不限于热带作物品种审定、热带作物品种试验技术规程，有一定的标准化工作经验。</w:t>
      </w:r>
      <w:r>
        <w:rPr>
          <w:rFonts w:hint="eastAsia" w:ascii="仿宋_GB2312" w:hAnsi="仿宋_GB2312" w:eastAsia="仿宋_GB2312" w:cs="仿宋_GB2312"/>
          <w:color w:val="000000"/>
          <w:kern w:val="0"/>
          <w:sz w:val="32"/>
          <w:szCs w:val="32"/>
          <w:lang w:val="en-US" w:eastAsia="zh-CN" w:bidi="ar"/>
        </w:rPr>
        <w:t>同时广西热作所拥有一支专业从事亚热带植物科普创新研究的团队，专业涵盖自然科学、社会科学等领域，在科普理论、科普创作、科普传播、科普活动</w:t>
      </w:r>
      <w:r>
        <w:rPr>
          <w:rFonts w:hint="eastAsia" w:ascii="仿宋_GB2312" w:hAnsi="仿宋_GB2312" w:cs="仿宋_GB2312"/>
          <w:color w:val="000000"/>
          <w:kern w:val="0"/>
          <w:sz w:val="32"/>
          <w:szCs w:val="32"/>
          <w:lang w:val="en-US" w:eastAsia="zh-CN" w:bidi="ar"/>
        </w:rPr>
        <w:t>、研学教育活动</w:t>
      </w:r>
      <w:r>
        <w:rPr>
          <w:rFonts w:hint="eastAsia" w:ascii="仿宋_GB2312" w:hAnsi="仿宋_GB2312" w:eastAsia="仿宋_GB2312" w:cs="仿宋_GB2312"/>
          <w:color w:val="000000"/>
          <w:kern w:val="0"/>
          <w:sz w:val="32"/>
          <w:szCs w:val="32"/>
          <w:lang w:val="en-US" w:eastAsia="zh-CN" w:bidi="ar"/>
        </w:rPr>
        <w:t>等方面积累了较为丰富的理论和实践研究经验。凭借丰富的物种资源与创新方法，亚热带植物科普创新研究团队开发了系列特色研学课程，如“亚热带植物王国探秘”“自然中的数学”“小小植物学家”等，涵盖了农业生产、植物养护、环境保护和科技创新等多个领域。这些课程不仅对标义务教育课程标准，还注重科学内涵与学生实践能力的培养，累计吸引了超过</w:t>
      </w:r>
      <w:r>
        <w:rPr>
          <w:rFonts w:hint="eastAsia" w:ascii="仿宋_GB2312" w:hAnsi="仿宋_GB2312" w:eastAsia="仿宋_GB2312" w:cs="仿宋_GB2312"/>
          <w:b/>
          <w:bCs/>
          <w:color w:val="000000"/>
          <w:kern w:val="0"/>
          <w:sz w:val="32"/>
          <w:szCs w:val="32"/>
          <w:lang w:val="en-US" w:eastAsia="zh-CN" w:bidi="ar"/>
        </w:rPr>
        <w:t>11万人次的参与者，其中仅“守护种苗”主题研学活动就吸引了4500多名中小学生，充分展现了其课程设计的吸引力和教育价值。2025年9月期间，基地充分发挥科普教育平台功能，开展开展春秋季研学、暑期夏令营、周末亲子探秘游等，接待师生与家长超1.2万人次。有一定的农业科普研学课程的设计经验</w:t>
      </w:r>
      <w:r>
        <w:rPr>
          <w:rFonts w:hint="eastAsia" w:ascii="仿宋_GB2312" w:hAnsi="仿宋_GB2312" w:cs="仿宋_GB2312"/>
          <w:b/>
          <w:bCs/>
          <w:color w:val="000000"/>
          <w:kern w:val="0"/>
          <w:sz w:val="32"/>
          <w:szCs w:val="32"/>
          <w:lang w:val="en-US" w:eastAsia="zh-CN" w:bidi="ar"/>
        </w:rPr>
        <w:t>与评价经验。</w:t>
      </w:r>
    </w:p>
    <w:p w14:paraId="4FE42B52">
      <w:pPr>
        <w:numPr>
          <w:ilvl w:val="0"/>
          <w:numId w:val="0"/>
        </w:numPr>
        <w:ind w:firstLine="422" w:firstLineChars="200"/>
        <w:jc w:val="center"/>
        <w:rPr>
          <w:rFonts w:hint="default" w:ascii="仿宋" w:hAnsi="仿宋" w:eastAsia="仿宋" w:cs="仿宋"/>
          <w:b/>
          <w:bCs/>
          <w:sz w:val="21"/>
          <w:szCs w:val="21"/>
          <w:lang w:val="en-US" w:eastAsia="zh-CN"/>
        </w:rPr>
      </w:pPr>
      <w:r>
        <w:rPr>
          <w:rFonts w:hint="eastAsia" w:ascii="仿宋" w:hAnsi="仿宋" w:eastAsia="仿宋" w:cs="仿宋"/>
          <w:b/>
          <w:bCs/>
          <w:sz w:val="21"/>
          <w:szCs w:val="21"/>
          <w:lang w:val="en-US" w:eastAsia="zh-CN"/>
        </w:rPr>
        <w:t>表1 广西热作所全国科普教育基地开展研学课程评价活动记录表（2024年9月-2025年9月）</w:t>
      </w:r>
    </w:p>
    <w:tbl>
      <w:tblPr>
        <w:tblStyle w:val="9"/>
        <w:tblW w:w="8679"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3282"/>
        <w:gridCol w:w="5397"/>
      </w:tblGrid>
      <w:tr w14:paraId="16914B9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jc w:val="center"/>
        </w:trPr>
        <w:tc>
          <w:tcPr>
            <w:tcW w:w="3282" w:type="dxa"/>
            <w:tcBorders>
              <w:top w:val="single" w:color="000000" w:sz="8" w:space="0"/>
              <w:left w:val="single" w:color="000000" w:sz="8" w:space="0"/>
              <w:bottom w:val="single" w:color="000000" w:sz="8" w:space="0"/>
              <w:right w:val="single" w:color="000000" w:sz="8" w:space="0"/>
            </w:tcBorders>
            <w:shd w:val="clear" w:color="auto" w:fill="auto"/>
            <w:vAlign w:val="center"/>
          </w:tcPr>
          <w:p w14:paraId="7047C704">
            <w:pPr>
              <w:keepNext w:val="0"/>
              <w:keepLines w:val="0"/>
              <w:widowControl/>
              <w:suppressLineNumbers w:val="0"/>
              <w:ind w:left="0" w:leftChars="0" w:firstLine="0" w:firstLineChars="0"/>
              <w:jc w:val="center"/>
              <w:textAlignment w:val="center"/>
              <w:rPr>
                <w:rFonts w:hint="eastAsia" w:ascii="仿宋" w:hAnsi="仿宋" w:eastAsia="仿宋" w:cs="仿宋"/>
                <w:b/>
                <w:bCs/>
                <w:i w:val="0"/>
                <w:iCs w:val="0"/>
                <w:color w:val="000000"/>
                <w:sz w:val="21"/>
                <w:szCs w:val="21"/>
                <w:u w:val="none"/>
              </w:rPr>
            </w:pPr>
            <w:r>
              <w:rPr>
                <w:rFonts w:hint="eastAsia" w:ascii="仿宋" w:hAnsi="仿宋" w:eastAsia="仿宋" w:cs="仿宋"/>
                <w:b/>
                <w:bCs/>
                <w:i w:val="0"/>
                <w:iCs w:val="0"/>
                <w:color w:val="000000"/>
                <w:kern w:val="0"/>
                <w:sz w:val="21"/>
                <w:szCs w:val="21"/>
                <w:u w:val="none"/>
                <w:lang w:val="en-US" w:eastAsia="zh-CN" w:bidi="ar"/>
              </w:rPr>
              <w:t>时间</w:t>
            </w:r>
          </w:p>
        </w:tc>
        <w:tc>
          <w:tcPr>
            <w:tcW w:w="5397" w:type="dxa"/>
            <w:tcBorders>
              <w:top w:val="single" w:color="000000" w:sz="8" w:space="0"/>
              <w:left w:val="single" w:color="000000" w:sz="8" w:space="0"/>
              <w:bottom w:val="single" w:color="000000" w:sz="8" w:space="0"/>
              <w:right w:val="single" w:color="000000" w:sz="8" w:space="0"/>
            </w:tcBorders>
            <w:shd w:val="clear" w:color="auto" w:fill="auto"/>
            <w:vAlign w:val="center"/>
          </w:tcPr>
          <w:p w14:paraId="6A703D65">
            <w:pPr>
              <w:keepNext w:val="0"/>
              <w:keepLines w:val="0"/>
              <w:widowControl/>
              <w:suppressLineNumbers w:val="0"/>
              <w:ind w:left="0" w:leftChars="0" w:firstLine="0" w:firstLineChars="0"/>
              <w:jc w:val="center"/>
              <w:textAlignment w:val="center"/>
              <w:rPr>
                <w:rFonts w:hint="eastAsia" w:ascii="仿宋" w:hAnsi="仿宋" w:eastAsia="仿宋" w:cs="仿宋"/>
                <w:b/>
                <w:bCs/>
                <w:i w:val="0"/>
                <w:iCs w:val="0"/>
                <w:color w:val="000000"/>
                <w:kern w:val="0"/>
                <w:sz w:val="21"/>
                <w:szCs w:val="21"/>
                <w:u w:val="none"/>
                <w:lang w:val="en-US" w:eastAsia="zh-CN" w:bidi="ar"/>
              </w:rPr>
            </w:pPr>
            <w:r>
              <w:rPr>
                <w:rFonts w:hint="eastAsia" w:ascii="仿宋" w:hAnsi="仿宋" w:eastAsia="仿宋" w:cs="仿宋"/>
                <w:b/>
                <w:bCs/>
                <w:i w:val="0"/>
                <w:iCs w:val="0"/>
                <w:color w:val="000000"/>
                <w:kern w:val="0"/>
                <w:sz w:val="21"/>
                <w:szCs w:val="21"/>
                <w:u w:val="none"/>
                <w:lang w:val="en-US" w:eastAsia="zh-CN" w:bidi="ar"/>
              </w:rPr>
              <w:t>被评价的研学课程名称</w:t>
            </w:r>
          </w:p>
        </w:tc>
      </w:tr>
      <w:tr w14:paraId="0097E5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3282" w:type="dxa"/>
            <w:tcBorders>
              <w:top w:val="nil"/>
              <w:left w:val="single" w:color="000000" w:sz="8" w:space="0"/>
              <w:bottom w:val="single" w:color="000000" w:sz="8" w:space="0"/>
              <w:right w:val="single" w:color="000000" w:sz="8" w:space="0"/>
            </w:tcBorders>
            <w:shd w:val="clear" w:color="auto" w:fill="auto"/>
            <w:vAlign w:val="center"/>
          </w:tcPr>
          <w:p w14:paraId="799A0DFF">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2024</w:t>
            </w:r>
            <w:r>
              <w:rPr>
                <w:rStyle w:val="60"/>
                <w:rFonts w:hint="eastAsia" w:ascii="仿宋" w:hAnsi="仿宋" w:eastAsia="仿宋" w:cs="仿宋"/>
                <w:sz w:val="21"/>
                <w:szCs w:val="21"/>
                <w:lang w:val="en-US" w:eastAsia="zh-CN" w:bidi="ar"/>
              </w:rPr>
              <w:t>年</w:t>
            </w:r>
            <w:r>
              <w:rPr>
                <w:rStyle w:val="61"/>
                <w:rFonts w:hint="eastAsia" w:ascii="仿宋" w:hAnsi="仿宋" w:eastAsia="仿宋" w:cs="仿宋"/>
                <w:sz w:val="21"/>
                <w:szCs w:val="21"/>
                <w:lang w:val="en-US" w:eastAsia="zh-CN" w:bidi="ar"/>
              </w:rPr>
              <w:t>9</w:t>
            </w:r>
            <w:r>
              <w:rPr>
                <w:rStyle w:val="60"/>
                <w:rFonts w:hint="eastAsia" w:ascii="仿宋" w:hAnsi="仿宋" w:eastAsia="仿宋" w:cs="仿宋"/>
                <w:sz w:val="21"/>
                <w:szCs w:val="21"/>
                <w:lang w:val="en-US" w:eastAsia="zh-CN" w:bidi="ar"/>
              </w:rPr>
              <w:t>月</w:t>
            </w:r>
            <w:r>
              <w:rPr>
                <w:rStyle w:val="61"/>
                <w:rFonts w:hint="eastAsia" w:ascii="仿宋" w:hAnsi="仿宋" w:eastAsia="仿宋" w:cs="仿宋"/>
                <w:sz w:val="21"/>
                <w:szCs w:val="21"/>
                <w:lang w:val="en-US" w:eastAsia="zh-CN" w:bidi="ar"/>
              </w:rPr>
              <w:t>22</w:t>
            </w:r>
            <w:r>
              <w:rPr>
                <w:rStyle w:val="60"/>
                <w:rFonts w:hint="eastAsia" w:ascii="仿宋" w:hAnsi="仿宋" w:eastAsia="仿宋" w:cs="仿宋"/>
                <w:sz w:val="21"/>
                <w:szCs w:val="21"/>
                <w:lang w:val="en-US" w:eastAsia="zh-CN" w:bidi="ar"/>
              </w:rPr>
              <w:t>日</w:t>
            </w:r>
            <w:r>
              <w:rPr>
                <w:rStyle w:val="61"/>
                <w:rFonts w:hint="eastAsia" w:ascii="仿宋" w:hAnsi="仿宋" w:eastAsia="仿宋" w:cs="仿宋"/>
                <w:sz w:val="21"/>
                <w:szCs w:val="21"/>
                <w:lang w:val="en-US" w:eastAsia="zh-CN" w:bidi="ar"/>
              </w:rPr>
              <w:t>-25</w:t>
            </w:r>
            <w:r>
              <w:rPr>
                <w:rStyle w:val="60"/>
                <w:rFonts w:hint="eastAsia" w:ascii="仿宋" w:hAnsi="仿宋" w:eastAsia="仿宋" w:cs="仿宋"/>
                <w:sz w:val="21"/>
                <w:szCs w:val="21"/>
                <w:lang w:val="en-US" w:eastAsia="zh-CN" w:bidi="ar"/>
              </w:rPr>
              <w:t>日</w:t>
            </w:r>
          </w:p>
        </w:tc>
        <w:tc>
          <w:tcPr>
            <w:tcW w:w="5397" w:type="dxa"/>
            <w:tcBorders>
              <w:top w:val="nil"/>
              <w:left w:val="single" w:color="000000" w:sz="8" w:space="0"/>
              <w:bottom w:val="single" w:color="000000" w:sz="8" w:space="0"/>
              <w:right w:val="single" w:color="000000" w:sz="8" w:space="0"/>
            </w:tcBorders>
            <w:shd w:val="clear" w:color="auto" w:fill="auto"/>
            <w:vAlign w:val="center"/>
          </w:tcPr>
          <w:p w14:paraId="3D8CC334">
            <w:pPr>
              <w:keepNext w:val="0"/>
              <w:keepLines w:val="0"/>
              <w:widowControl/>
              <w:suppressLineNumbers w:val="0"/>
              <w:ind w:left="0" w:leftChars="0" w:firstLine="0" w:firstLineChars="0"/>
              <w:jc w:val="center"/>
              <w:textAlignment w:val="center"/>
              <w:rPr>
                <w:rFonts w:hint="default"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热作所种质圃开放</w:t>
            </w:r>
          </w:p>
        </w:tc>
      </w:tr>
      <w:tr w14:paraId="4FB6085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3282" w:type="dxa"/>
            <w:tcBorders>
              <w:top w:val="nil"/>
              <w:left w:val="single" w:color="000000" w:sz="8" w:space="0"/>
              <w:bottom w:val="single" w:color="000000" w:sz="8" w:space="0"/>
              <w:right w:val="single" w:color="000000" w:sz="8" w:space="0"/>
            </w:tcBorders>
            <w:shd w:val="clear" w:color="auto" w:fill="auto"/>
            <w:vAlign w:val="center"/>
          </w:tcPr>
          <w:p w14:paraId="12738F31">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2024年10月1日-5日</w:t>
            </w:r>
          </w:p>
        </w:tc>
        <w:tc>
          <w:tcPr>
            <w:tcW w:w="5397" w:type="dxa"/>
            <w:tcBorders>
              <w:top w:val="nil"/>
              <w:left w:val="single" w:color="000000" w:sz="8" w:space="0"/>
              <w:bottom w:val="single" w:color="000000" w:sz="8" w:space="0"/>
              <w:right w:val="single" w:color="000000" w:sz="8" w:space="0"/>
            </w:tcBorders>
            <w:shd w:val="clear" w:color="auto" w:fill="auto"/>
            <w:vAlign w:val="center"/>
          </w:tcPr>
          <w:p w14:paraId="5AB87D73">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福娃亲子研学半日营</w:t>
            </w:r>
          </w:p>
        </w:tc>
      </w:tr>
      <w:tr w14:paraId="3CB456F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3282" w:type="dxa"/>
            <w:tcBorders>
              <w:top w:val="nil"/>
              <w:left w:val="single" w:color="000000" w:sz="8" w:space="0"/>
              <w:bottom w:val="single" w:color="000000" w:sz="8" w:space="0"/>
              <w:right w:val="single" w:color="000000" w:sz="8" w:space="0"/>
            </w:tcBorders>
            <w:shd w:val="clear" w:color="auto" w:fill="auto"/>
            <w:vAlign w:val="center"/>
          </w:tcPr>
          <w:p w14:paraId="12C29D11">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2024年10月19日</w:t>
            </w:r>
          </w:p>
        </w:tc>
        <w:tc>
          <w:tcPr>
            <w:tcW w:w="5397" w:type="dxa"/>
            <w:tcBorders>
              <w:top w:val="nil"/>
              <w:left w:val="single" w:color="000000" w:sz="8" w:space="0"/>
              <w:bottom w:val="single" w:color="000000" w:sz="8" w:space="0"/>
              <w:right w:val="single" w:color="000000" w:sz="8" w:space="0"/>
            </w:tcBorders>
            <w:shd w:val="clear" w:color="auto" w:fill="auto"/>
            <w:vAlign w:val="center"/>
          </w:tcPr>
          <w:p w14:paraId="15E2C630">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钦州市钦南区人和春天幼儿园研学活动</w:t>
            </w:r>
          </w:p>
        </w:tc>
      </w:tr>
      <w:tr w14:paraId="6999B24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3282" w:type="dxa"/>
            <w:tcBorders>
              <w:top w:val="nil"/>
              <w:left w:val="single" w:color="000000" w:sz="8" w:space="0"/>
              <w:bottom w:val="single" w:color="000000" w:sz="8" w:space="0"/>
              <w:right w:val="single" w:color="000000" w:sz="8" w:space="0"/>
            </w:tcBorders>
            <w:shd w:val="clear" w:color="auto" w:fill="auto"/>
            <w:vAlign w:val="center"/>
          </w:tcPr>
          <w:p w14:paraId="543CF2B5">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2024年10月26日</w:t>
            </w:r>
          </w:p>
        </w:tc>
        <w:tc>
          <w:tcPr>
            <w:tcW w:w="5397" w:type="dxa"/>
            <w:tcBorders>
              <w:top w:val="nil"/>
              <w:left w:val="single" w:color="000000" w:sz="8" w:space="0"/>
              <w:bottom w:val="single" w:color="000000" w:sz="8" w:space="0"/>
              <w:right w:val="single" w:color="000000" w:sz="8" w:space="0"/>
            </w:tcBorders>
            <w:shd w:val="clear" w:color="auto" w:fill="auto"/>
            <w:vAlign w:val="center"/>
          </w:tcPr>
          <w:p w14:paraId="7B18DA2C">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清川小学研学活动</w:t>
            </w:r>
          </w:p>
        </w:tc>
      </w:tr>
      <w:tr w14:paraId="1CA015A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3282" w:type="dxa"/>
            <w:tcBorders>
              <w:top w:val="nil"/>
              <w:left w:val="single" w:color="000000" w:sz="8" w:space="0"/>
              <w:bottom w:val="single" w:color="000000" w:sz="8" w:space="0"/>
              <w:right w:val="single" w:color="000000" w:sz="8" w:space="0"/>
            </w:tcBorders>
            <w:shd w:val="clear" w:color="auto" w:fill="auto"/>
            <w:vAlign w:val="center"/>
          </w:tcPr>
          <w:p w14:paraId="569ABDA8">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2024年10月31日</w:t>
            </w:r>
          </w:p>
        </w:tc>
        <w:tc>
          <w:tcPr>
            <w:tcW w:w="5397" w:type="dxa"/>
            <w:tcBorders>
              <w:top w:val="nil"/>
              <w:left w:val="single" w:color="000000" w:sz="8" w:space="0"/>
              <w:bottom w:val="single" w:color="000000" w:sz="8" w:space="0"/>
              <w:right w:val="single" w:color="000000" w:sz="8" w:space="0"/>
            </w:tcBorders>
            <w:shd w:val="clear" w:color="auto" w:fill="auto"/>
            <w:vAlign w:val="center"/>
          </w:tcPr>
          <w:p w14:paraId="18B84905">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博雅悦澜山幼儿园研学活动</w:t>
            </w:r>
          </w:p>
        </w:tc>
      </w:tr>
      <w:tr w14:paraId="15C4FFB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jc w:val="center"/>
        </w:trPr>
        <w:tc>
          <w:tcPr>
            <w:tcW w:w="3282" w:type="dxa"/>
            <w:tcBorders>
              <w:top w:val="nil"/>
              <w:left w:val="single" w:color="000000" w:sz="8" w:space="0"/>
              <w:bottom w:val="single" w:color="000000" w:sz="8" w:space="0"/>
              <w:right w:val="single" w:color="000000" w:sz="8" w:space="0"/>
            </w:tcBorders>
            <w:shd w:val="clear" w:color="auto" w:fill="auto"/>
            <w:vAlign w:val="center"/>
          </w:tcPr>
          <w:p w14:paraId="1E11C8A7">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2024年11月1日</w:t>
            </w:r>
          </w:p>
        </w:tc>
        <w:tc>
          <w:tcPr>
            <w:tcW w:w="5397" w:type="dxa"/>
            <w:tcBorders>
              <w:top w:val="nil"/>
              <w:left w:val="single" w:color="000000" w:sz="8" w:space="0"/>
              <w:bottom w:val="single" w:color="000000" w:sz="8" w:space="0"/>
              <w:right w:val="single" w:color="000000" w:sz="8" w:space="0"/>
            </w:tcBorders>
            <w:shd w:val="clear" w:color="auto" w:fill="auto"/>
            <w:vAlign w:val="center"/>
          </w:tcPr>
          <w:p w14:paraId="6F7A1A62">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金阳路小学研学活动</w:t>
            </w:r>
          </w:p>
        </w:tc>
      </w:tr>
      <w:tr w14:paraId="2AB2C0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3282" w:type="dxa"/>
            <w:tcBorders>
              <w:top w:val="nil"/>
              <w:left w:val="single" w:color="000000" w:sz="8" w:space="0"/>
              <w:bottom w:val="single" w:color="000000" w:sz="8" w:space="0"/>
              <w:right w:val="single" w:color="000000" w:sz="8" w:space="0"/>
            </w:tcBorders>
            <w:shd w:val="clear" w:color="auto" w:fill="auto"/>
            <w:vAlign w:val="center"/>
          </w:tcPr>
          <w:p w14:paraId="5BF24C24">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2024年11月9日</w:t>
            </w:r>
          </w:p>
        </w:tc>
        <w:tc>
          <w:tcPr>
            <w:tcW w:w="5397" w:type="dxa"/>
            <w:tcBorders>
              <w:top w:val="nil"/>
              <w:left w:val="single" w:color="000000" w:sz="8" w:space="0"/>
              <w:bottom w:val="single" w:color="000000" w:sz="8" w:space="0"/>
              <w:right w:val="single" w:color="000000" w:sz="8" w:space="0"/>
            </w:tcBorders>
            <w:shd w:val="clear" w:color="auto" w:fill="auto"/>
            <w:vAlign w:val="center"/>
          </w:tcPr>
          <w:p w14:paraId="5B0D74D8">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广西电视台小记者团研学活动</w:t>
            </w:r>
          </w:p>
        </w:tc>
      </w:tr>
      <w:tr w14:paraId="2F2997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3282" w:type="dxa"/>
            <w:tcBorders>
              <w:top w:val="nil"/>
              <w:left w:val="single" w:color="000000" w:sz="8" w:space="0"/>
              <w:bottom w:val="single" w:color="000000" w:sz="8" w:space="0"/>
              <w:right w:val="single" w:color="000000" w:sz="8" w:space="0"/>
            </w:tcBorders>
            <w:shd w:val="clear" w:color="auto" w:fill="auto"/>
            <w:vAlign w:val="center"/>
          </w:tcPr>
          <w:p w14:paraId="25C48A52">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2024年11月17日</w:t>
            </w:r>
          </w:p>
        </w:tc>
        <w:tc>
          <w:tcPr>
            <w:tcW w:w="5397" w:type="dxa"/>
            <w:tcBorders>
              <w:top w:val="nil"/>
              <w:left w:val="single" w:color="000000" w:sz="8" w:space="0"/>
              <w:bottom w:val="single" w:color="000000" w:sz="8" w:space="0"/>
              <w:right w:val="single" w:color="000000" w:sz="8" w:space="0"/>
            </w:tcBorders>
            <w:shd w:val="clear" w:color="auto" w:fill="auto"/>
            <w:vAlign w:val="center"/>
          </w:tcPr>
          <w:p w14:paraId="50A8106A">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园长教研活动</w:t>
            </w:r>
          </w:p>
        </w:tc>
      </w:tr>
      <w:tr w14:paraId="281A40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3282" w:type="dxa"/>
            <w:tcBorders>
              <w:top w:val="nil"/>
              <w:left w:val="single" w:color="000000" w:sz="8" w:space="0"/>
              <w:bottom w:val="single" w:color="000000" w:sz="8" w:space="0"/>
              <w:right w:val="single" w:color="000000" w:sz="8" w:space="0"/>
            </w:tcBorders>
            <w:shd w:val="clear" w:color="auto" w:fill="auto"/>
            <w:vAlign w:val="center"/>
          </w:tcPr>
          <w:p w14:paraId="305AB476">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2024年11月19日</w:t>
            </w:r>
          </w:p>
        </w:tc>
        <w:tc>
          <w:tcPr>
            <w:tcW w:w="5397" w:type="dxa"/>
            <w:tcBorders>
              <w:top w:val="nil"/>
              <w:left w:val="single" w:color="000000" w:sz="8" w:space="0"/>
              <w:bottom w:val="single" w:color="000000" w:sz="8" w:space="0"/>
              <w:right w:val="single" w:color="000000" w:sz="8" w:space="0"/>
            </w:tcBorders>
            <w:shd w:val="clear" w:color="auto" w:fill="auto"/>
            <w:vAlign w:val="center"/>
          </w:tcPr>
          <w:p w14:paraId="53887A67">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兴宁区三塘镇中心幼儿园研学活动</w:t>
            </w:r>
          </w:p>
        </w:tc>
      </w:tr>
      <w:tr w14:paraId="18080B2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3282" w:type="dxa"/>
            <w:tcBorders>
              <w:top w:val="nil"/>
              <w:left w:val="single" w:color="000000" w:sz="8" w:space="0"/>
              <w:bottom w:val="single" w:color="000000" w:sz="8" w:space="0"/>
              <w:right w:val="single" w:color="000000" w:sz="8" w:space="0"/>
            </w:tcBorders>
            <w:shd w:val="clear" w:color="auto" w:fill="auto"/>
            <w:vAlign w:val="center"/>
          </w:tcPr>
          <w:p w14:paraId="1DF05943">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2024年11月20日</w:t>
            </w:r>
          </w:p>
        </w:tc>
        <w:tc>
          <w:tcPr>
            <w:tcW w:w="5397" w:type="dxa"/>
            <w:tcBorders>
              <w:top w:val="nil"/>
              <w:left w:val="single" w:color="000000" w:sz="8" w:space="0"/>
              <w:bottom w:val="single" w:color="000000" w:sz="8" w:space="0"/>
              <w:right w:val="single" w:color="000000" w:sz="8" w:space="0"/>
            </w:tcBorders>
            <w:shd w:val="clear" w:color="auto" w:fill="auto"/>
            <w:vAlign w:val="center"/>
          </w:tcPr>
          <w:p w14:paraId="0A364A0C">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人民路东段小学研学活动</w:t>
            </w:r>
          </w:p>
        </w:tc>
      </w:tr>
      <w:tr w14:paraId="6EA65C6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3282" w:type="dxa"/>
            <w:tcBorders>
              <w:top w:val="nil"/>
              <w:left w:val="single" w:color="000000" w:sz="8" w:space="0"/>
              <w:bottom w:val="single" w:color="000000" w:sz="8" w:space="0"/>
              <w:right w:val="single" w:color="000000" w:sz="8" w:space="0"/>
            </w:tcBorders>
            <w:shd w:val="clear" w:color="auto" w:fill="auto"/>
            <w:vAlign w:val="center"/>
          </w:tcPr>
          <w:p w14:paraId="7B81614E">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2024年11月22日</w:t>
            </w:r>
          </w:p>
        </w:tc>
        <w:tc>
          <w:tcPr>
            <w:tcW w:w="5397" w:type="dxa"/>
            <w:tcBorders>
              <w:top w:val="nil"/>
              <w:left w:val="single" w:color="000000" w:sz="8" w:space="0"/>
              <w:bottom w:val="single" w:color="000000" w:sz="8" w:space="0"/>
              <w:right w:val="single" w:color="000000" w:sz="8" w:space="0"/>
            </w:tcBorders>
            <w:shd w:val="clear" w:color="auto" w:fill="auto"/>
            <w:vAlign w:val="center"/>
          </w:tcPr>
          <w:p w14:paraId="26A4207C">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兴宁小学研学活动</w:t>
            </w:r>
          </w:p>
        </w:tc>
      </w:tr>
      <w:tr w14:paraId="1B7DEFE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3282" w:type="dxa"/>
            <w:tcBorders>
              <w:top w:val="nil"/>
              <w:left w:val="single" w:color="000000" w:sz="8" w:space="0"/>
              <w:bottom w:val="single" w:color="000000" w:sz="8" w:space="0"/>
              <w:right w:val="single" w:color="000000" w:sz="8" w:space="0"/>
            </w:tcBorders>
            <w:shd w:val="clear" w:color="auto" w:fill="auto"/>
            <w:vAlign w:val="center"/>
          </w:tcPr>
          <w:p w14:paraId="29A0B160">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2024年11月24日</w:t>
            </w:r>
          </w:p>
        </w:tc>
        <w:tc>
          <w:tcPr>
            <w:tcW w:w="5397" w:type="dxa"/>
            <w:tcBorders>
              <w:top w:val="nil"/>
              <w:left w:val="single" w:color="000000" w:sz="8" w:space="0"/>
              <w:bottom w:val="single" w:color="000000" w:sz="8" w:space="0"/>
              <w:right w:val="single" w:color="000000" w:sz="8" w:space="0"/>
            </w:tcBorders>
            <w:shd w:val="clear" w:color="auto" w:fill="auto"/>
            <w:vAlign w:val="center"/>
          </w:tcPr>
          <w:p w14:paraId="3CB39C86">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福娃亲子幼儿园运动会</w:t>
            </w:r>
          </w:p>
        </w:tc>
      </w:tr>
      <w:tr w14:paraId="5ED14E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3282" w:type="dxa"/>
            <w:tcBorders>
              <w:top w:val="nil"/>
              <w:left w:val="single" w:color="000000" w:sz="8" w:space="0"/>
              <w:bottom w:val="single" w:color="000000" w:sz="8" w:space="0"/>
              <w:right w:val="single" w:color="000000" w:sz="8" w:space="0"/>
            </w:tcBorders>
            <w:shd w:val="clear" w:color="auto" w:fill="auto"/>
            <w:vAlign w:val="center"/>
          </w:tcPr>
          <w:p w14:paraId="3FD63DEE">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2024年11月30日</w:t>
            </w:r>
          </w:p>
        </w:tc>
        <w:tc>
          <w:tcPr>
            <w:tcW w:w="5397" w:type="dxa"/>
            <w:tcBorders>
              <w:top w:val="nil"/>
              <w:left w:val="single" w:color="000000" w:sz="8" w:space="0"/>
              <w:bottom w:val="single" w:color="000000" w:sz="8" w:space="0"/>
              <w:right w:val="single" w:color="000000" w:sz="8" w:space="0"/>
            </w:tcBorders>
            <w:shd w:val="clear" w:color="auto" w:fill="auto"/>
            <w:vAlign w:val="center"/>
          </w:tcPr>
          <w:p w14:paraId="625F6E04">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外国语亲子研学活动</w:t>
            </w:r>
          </w:p>
        </w:tc>
      </w:tr>
      <w:tr w14:paraId="3C0C53C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3282" w:type="dxa"/>
            <w:tcBorders>
              <w:top w:val="nil"/>
              <w:left w:val="single" w:color="000000" w:sz="8" w:space="0"/>
              <w:bottom w:val="single" w:color="000000" w:sz="8" w:space="0"/>
              <w:right w:val="single" w:color="000000" w:sz="8" w:space="0"/>
            </w:tcBorders>
            <w:shd w:val="clear" w:color="auto" w:fill="auto"/>
            <w:vAlign w:val="center"/>
          </w:tcPr>
          <w:p w14:paraId="21C82636">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2024年12月10日</w:t>
            </w:r>
          </w:p>
        </w:tc>
        <w:tc>
          <w:tcPr>
            <w:tcW w:w="5397" w:type="dxa"/>
            <w:tcBorders>
              <w:top w:val="nil"/>
              <w:left w:val="single" w:color="000000" w:sz="8" w:space="0"/>
              <w:bottom w:val="single" w:color="000000" w:sz="8" w:space="0"/>
              <w:right w:val="single" w:color="000000" w:sz="8" w:space="0"/>
            </w:tcBorders>
            <w:shd w:val="clear" w:color="auto" w:fill="auto"/>
            <w:vAlign w:val="center"/>
          </w:tcPr>
          <w:p w14:paraId="1A46A568">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领誉府幼儿园研学活动</w:t>
            </w:r>
          </w:p>
        </w:tc>
      </w:tr>
      <w:tr w14:paraId="041043A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jc w:val="center"/>
        </w:trPr>
        <w:tc>
          <w:tcPr>
            <w:tcW w:w="3282" w:type="dxa"/>
            <w:tcBorders>
              <w:top w:val="nil"/>
              <w:left w:val="single" w:color="000000" w:sz="8" w:space="0"/>
              <w:bottom w:val="single" w:color="000000" w:sz="8" w:space="0"/>
              <w:right w:val="single" w:color="000000" w:sz="8" w:space="0"/>
            </w:tcBorders>
            <w:shd w:val="clear" w:color="auto" w:fill="auto"/>
            <w:vAlign w:val="center"/>
          </w:tcPr>
          <w:p w14:paraId="443CF343">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2024年12月29日</w:t>
            </w:r>
          </w:p>
        </w:tc>
        <w:tc>
          <w:tcPr>
            <w:tcW w:w="5397" w:type="dxa"/>
            <w:tcBorders>
              <w:top w:val="nil"/>
              <w:left w:val="single" w:color="000000" w:sz="8" w:space="0"/>
              <w:bottom w:val="single" w:color="000000" w:sz="8" w:space="0"/>
              <w:right w:val="single" w:color="000000" w:sz="8" w:space="0"/>
            </w:tcBorders>
            <w:shd w:val="clear" w:color="auto" w:fill="auto"/>
            <w:vAlign w:val="center"/>
          </w:tcPr>
          <w:p w14:paraId="7FDDF216">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咖啡主题亲子活动</w:t>
            </w:r>
          </w:p>
        </w:tc>
      </w:tr>
      <w:tr w14:paraId="2799110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jc w:val="center"/>
        </w:trPr>
        <w:tc>
          <w:tcPr>
            <w:tcW w:w="3282" w:type="dxa"/>
            <w:tcBorders>
              <w:top w:val="nil"/>
              <w:left w:val="single" w:color="000000" w:sz="8" w:space="0"/>
              <w:bottom w:val="single" w:color="000000" w:sz="8" w:space="0"/>
              <w:right w:val="single" w:color="000000" w:sz="8" w:space="0"/>
            </w:tcBorders>
            <w:shd w:val="clear" w:color="auto" w:fill="auto"/>
            <w:vAlign w:val="center"/>
          </w:tcPr>
          <w:p w14:paraId="3432AE49">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2024年12月31日</w:t>
            </w:r>
          </w:p>
        </w:tc>
        <w:tc>
          <w:tcPr>
            <w:tcW w:w="5397" w:type="dxa"/>
            <w:tcBorders>
              <w:top w:val="nil"/>
              <w:left w:val="single" w:color="000000" w:sz="8" w:space="0"/>
              <w:bottom w:val="single" w:color="000000" w:sz="8" w:space="0"/>
              <w:right w:val="single" w:color="000000" w:sz="8" w:space="0"/>
            </w:tcBorders>
            <w:shd w:val="clear" w:color="auto" w:fill="auto"/>
            <w:vAlign w:val="center"/>
          </w:tcPr>
          <w:p w14:paraId="795B2DC9">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森林音乐会活动</w:t>
            </w:r>
          </w:p>
        </w:tc>
      </w:tr>
      <w:tr w14:paraId="1A8A7AE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jc w:val="center"/>
        </w:trPr>
        <w:tc>
          <w:tcPr>
            <w:tcW w:w="3282" w:type="dxa"/>
            <w:tcBorders>
              <w:top w:val="single" w:color="000000" w:sz="8" w:space="0"/>
              <w:left w:val="single" w:color="000000" w:sz="8" w:space="0"/>
              <w:bottom w:val="single" w:color="000000" w:sz="8" w:space="0"/>
              <w:right w:val="single" w:color="000000" w:sz="8" w:space="0"/>
            </w:tcBorders>
            <w:shd w:val="clear" w:color="auto" w:fill="auto"/>
            <w:vAlign w:val="center"/>
          </w:tcPr>
          <w:p w14:paraId="01E21B5F">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2025年1月8日</w:t>
            </w:r>
          </w:p>
        </w:tc>
        <w:tc>
          <w:tcPr>
            <w:tcW w:w="5397" w:type="dxa"/>
            <w:tcBorders>
              <w:top w:val="single" w:color="000000" w:sz="8" w:space="0"/>
              <w:left w:val="nil"/>
              <w:bottom w:val="single" w:color="000000" w:sz="8" w:space="0"/>
              <w:right w:val="single" w:color="000000" w:sz="8" w:space="0"/>
            </w:tcBorders>
            <w:shd w:val="clear" w:color="auto" w:fill="auto"/>
            <w:vAlign w:val="center"/>
          </w:tcPr>
          <w:p w14:paraId="39ACE78A">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民办幼儿园园长课程体验教研活动</w:t>
            </w:r>
          </w:p>
        </w:tc>
      </w:tr>
      <w:tr w14:paraId="5FE24C4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jc w:val="center"/>
        </w:trPr>
        <w:tc>
          <w:tcPr>
            <w:tcW w:w="3282" w:type="dxa"/>
            <w:tcBorders>
              <w:top w:val="nil"/>
              <w:left w:val="single" w:color="000000" w:sz="8" w:space="0"/>
              <w:bottom w:val="single" w:color="000000" w:sz="8" w:space="0"/>
              <w:right w:val="single" w:color="000000" w:sz="8" w:space="0"/>
            </w:tcBorders>
            <w:shd w:val="clear" w:color="auto" w:fill="auto"/>
            <w:vAlign w:val="center"/>
          </w:tcPr>
          <w:p w14:paraId="790245AA">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2025年1月9日</w:t>
            </w:r>
          </w:p>
        </w:tc>
        <w:tc>
          <w:tcPr>
            <w:tcW w:w="5397" w:type="dxa"/>
            <w:tcBorders>
              <w:top w:val="nil"/>
              <w:left w:val="nil"/>
              <w:bottom w:val="single" w:color="000000" w:sz="8" w:space="0"/>
              <w:right w:val="single" w:color="000000" w:sz="8" w:space="0"/>
            </w:tcBorders>
            <w:shd w:val="clear" w:color="auto" w:fill="auto"/>
            <w:vAlign w:val="center"/>
          </w:tcPr>
          <w:p w14:paraId="77B8EACA">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咖啡主题活动</w:t>
            </w:r>
          </w:p>
        </w:tc>
      </w:tr>
      <w:tr w14:paraId="1EF601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3282" w:type="dxa"/>
            <w:tcBorders>
              <w:top w:val="nil"/>
              <w:left w:val="single" w:color="000000" w:sz="8" w:space="0"/>
              <w:bottom w:val="single" w:color="000000" w:sz="8" w:space="0"/>
              <w:right w:val="single" w:color="000000" w:sz="8" w:space="0"/>
            </w:tcBorders>
            <w:shd w:val="clear" w:color="auto" w:fill="auto"/>
            <w:vAlign w:val="center"/>
          </w:tcPr>
          <w:p w14:paraId="5606860F">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2025年1月14日</w:t>
            </w:r>
          </w:p>
        </w:tc>
        <w:tc>
          <w:tcPr>
            <w:tcW w:w="5397" w:type="dxa"/>
            <w:tcBorders>
              <w:top w:val="nil"/>
              <w:left w:val="nil"/>
              <w:bottom w:val="single" w:color="000000" w:sz="8" w:space="0"/>
              <w:right w:val="single" w:color="000000" w:sz="8" w:space="0"/>
            </w:tcBorders>
            <w:shd w:val="clear" w:color="auto" w:fill="auto"/>
            <w:vAlign w:val="center"/>
          </w:tcPr>
          <w:p w14:paraId="4F8C8F7A">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哈罗礼德学校研学活动</w:t>
            </w:r>
          </w:p>
        </w:tc>
      </w:tr>
      <w:tr w14:paraId="647B662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3282" w:type="dxa"/>
            <w:tcBorders>
              <w:top w:val="nil"/>
              <w:left w:val="single" w:color="000000" w:sz="8" w:space="0"/>
              <w:bottom w:val="single" w:color="000000" w:sz="8" w:space="0"/>
              <w:right w:val="single" w:color="000000" w:sz="8" w:space="0"/>
            </w:tcBorders>
            <w:shd w:val="clear" w:color="auto" w:fill="auto"/>
            <w:vAlign w:val="center"/>
          </w:tcPr>
          <w:p w14:paraId="70257C0B">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2025年1月19日</w:t>
            </w:r>
          </w:p>
        </w:tc>
        <w:tc>
          <w:tcPr>
            <w:tcW w:w="5397" w:type="dxa"/>
            <w:tcBorders>
              <w:top w:val="nil"/>
              <w:left w:val="nil"/>
              <w:bottom w:val="single" w:color="000000" w:sz="8" w:space="0"/>
              <w:right w:val="single" w:color="000000" w:sz="8" w:space="0"/>
            </w:tcBorders>
            <w:shd w:val="clear" w:color="auto" w:fill="auto"/>
            <w:vAlign w:val="center"/>
          </w:tcPr>
          <w:p w14:paraId="54FFFB4F">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福娃幼儿园家长研学体验活动</w:t>
            </w:r>
          </w:p>
        </w:tc>
      </w:tr>
      <w:tr w14:paraId="5C11360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3282" w:type="dxa"/>
            <w:tcBorders>
              <w:top w:val="nil"/>
              <w:left w:val="single" w:color="000000" w:sz="8" w:space="0"/>
              <w:bottom w:val="single" w:color="000000" w:sz="8" w:space="0"/>
              <w:right w:val="single" w:color="000000" w:sz="8" w:space="0"/>
            </w:tcBorders>
            <w:shd w:val="clear" w:color="auto" w:fill="auto"/>
            <w:vAlign w:val="center"/>
          </w:tcPr>
          <w:p w14:paraId="232531A0">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2025年1月19日</w:t>
            </w:r>
          </w:p>
        </w:tc>
        <w:tc>
          <w:tcPr>
            <w:tcW w:w="5397" w:type="dxa"/>
            <w:tcBorders>
              <w:top w:val="nil"/>
              <w:left w:val="nil"/>
              <w:bottom w:val="single" w:color="000000" w:sz="8" w:space="0"/>
              <w:right w:val="single" w:color="000000" w:sz="8" w:space="0"/>
            </w:tcBorders>
            <w:shd w:val="clear" w:color="auto" w:fill="auto"/>
            <w:vAlign w:val="center"/>
          </w:tcPr>
          <w:p w14:paraId="0132DAFF">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海关部门研学体验活动</w:t>
            </w:r>
          </w:p>
        </w:tc>
      </w:tr>
      <w:tr w14:paraId="4E24C3F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3282" w:type="dxa"/>
            <w:tcBorders>
              <w:top w:val="nil"/>
              <w:left w:val="single" w:color="000000" w:sz="8" w:space="0"/>
              <w:bottom w:val="single" w:color="000000" w:sz="8" w:space="0"/>
              <w:right w:val="single" w:color="000000" w:sz="8" w:space="0"/>
            </w:tcBorders>
            <w:shd w:val="clear" w:color="auto" w:fill="auto"/>
            <w:vAlign w:val="center"/>
          </w:tcPr>
          <w:p w14:paraId="10865433">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2025年3月6日</w:t>
            </w:r>
          </w:p>
        </w:tc>
        <w:tc>
          <w:tcPr>
            <w:tcW w:w="5397" w:type="dxa"/>
            <w:tcBorders>
              <w:top w:val="nil"/>
              <w:left w:val="nil"/>
              <w:bottom w:val="single" w:color="000000" w:sz="8" w:space="0"/>
              <w:right w:val="single" w:color="000000" w:sz="8" w:space="0"/>
            </w:tcBorders>
            <w:shd w:val="clear" w:color="auto" w:fill="auto"/>
            <w:vAlign w:val="center"/>
          </w:tcPr>
          <w:p w14:paraId="12A47163">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农科院妇女节活动</w:t>
            </w:r>
          </w:p>
        </w:tc>
      </w:tr>
      <w:tr w14:paraId="44E5C72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3282" w:type="dxa"/>
            <w:tcBorders>
              <w:top w:val="nil"/>
              <w:left w:val="single" w:color="000000" w:sz="8" w:space="0"/>
              <w:bottom w:val="single" w:color="000000" w:sz="8" w:space="0"/>
              <w:right w:val="single" w:color="000000" w:sz="8" w:space="0"/>
            </w:tcBorders>
            <w:shd w:val="clear" w:color="auto" w:fill="auto"/>
            <w:vAlign w:val="center"/>
          </w:tcPr>
          <w:p w14:paraId="55BCFBBE">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2025年3月8日</w:t>
            </w:r>
          </w:p>
        </w:tc>
        <w:tc>
          <w:tcPr>
            <w:tcW w:w="5397" w:type="dxa"/>
            <w:tcBorders>
              <w:top w:val="nil"/>
              <w:left w:val="nil"/>
              <w:bottom w:val="single" w:color="000000" w:sz="8" w:space="0"/>
              <w:right w:val="single" w:color="000000" w:sz="8" w:space="0"/>
            </w:tcBorders>
            <w:shd w:val="clear" w:color="auto" w:fill="auto"/>
            <w:vAlign w:val="center"/>
          </w:tcPr>
          <w:p w14:paraId="5DEF8593">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南宁市第一幼儿园妇女节体验活动</w:t>
            </w:r>
          </w:p>
        </w:tc>
      </w:tr>
      <w:tr w14:paraId="6691B8C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jc w:val="center"/>
        </w:trPr>
        <w:tc>
          <w:tcPr>
            <w:tcW w:w="3282" w:type="dxa"/>
            <w:tcBorders>
              <w:top w:val="nil"/>
              <w:left w:val="single" w:color="000000" w:sz="8" w:space="0"/>
              <w:bottom w:val="single" w:color="000000" w:sz="8" w:space="0"/>
              <w:right w:val="single" w:color="000000" w:sz="8" w:space="0"/>
            </w:tcBorders>
            <w:shd w:val="clear" w:color="auto" w:fill="auto"/>
            <w:vAlign w:val="center"/>
          </w:tcPr>
          <w:p w14:paraId="085CBA6E">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2025年3月16日</w:t>
            </w:r>
          </w:p>
        </w:tc>
        <w:tc>
          <w:tcPr>
            <w:tcW w:w="5397" w:type="dxa"/>
            <w:tcBorders>
              <w:top w:val="nil"/>
              <w:left w:val="nil"/>
              <w:bottom w:val="single" w:color="000000" w:sz="8" w:space="0"/>
              <w:right w:val="single" w:color="000000" w:sz="8" w:space="0"/>
            </w:tcBorders>
            <w:shd w:val="clear" w:color="auto" w:fill="auto"/>
            <w:vAlign w:val="center"/>
          </w:tcPr>
          <w:p w14:paraId="38FA81EC">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越秀路小学研学活动</w:t>
            </w:r>
          </w:p>
        </w:tc>
      </w:tr>
      <w:tr w14:paraId="1C95E7B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jc w:val="center"/>
        </w:trPr>
        <w:tc>
          <w:tcPr>
            <w:tcW w:w="3282" w:type="dxa"/>
            <w:tcBorders>
              <w:top w:val="nil"/>
              <w:left w:val="single" w:color="000000" w:sz="8" w:space="0"/>
              <w:bottom w:val="single" w:color="000000" w:sz="8" w:space="0"/>
              <w:right w:val="single" w:color="000000" w:sz="8" w:space="0"/>
            </w:tcBorders>
            <w:shd w:val="clear" w:color="auto" w:fill="auto"/>
            <w:vAlign w:val="center"/>
          </w:tcPr>
          <w:p w14:paraId="2F35EFB4">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2025年3月17日</w:t>
            </w:r>
          </w:p>
        </w:tc>
        <w:tc>
          <w:tcPr>
            <w:tcW w:w="5397" w:type="dxa"/>
            <w:tcBorders>
              <w:top w:val="nil"/>
              <w:left w:val="nil"/>
              <w:bottom w:val="single" w:color="000000" w:sz="8" w:space="0"/>
              <w:right w:val="single" w:color="000000" w:sz="8" w:space="0"/>
            </w:tcBorders>
            <w:shd w:val="clear" w:color="auto" w:fill="auto"/>
            <w:vAlign w:val="center"/>
          </w:tcPr>
          <w:p w14:paraId="233E4001">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贵港市港北区高中研学活动</w:t>
            </w:r>
          </w:p>
        </w:tc>
      </w:tr>
      <w:tr w14:paraId="74DA2FE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jc w:val="center"/>
        </w:trPr>
        <w:tc>
          <w:tcPr>
            <w:tcW w:w="3282" w:type="dxa"/>
            <w:tcBorders>
              <w:top w:val="nil"/>
              <w:left w:val="single" w:color="000000" w:sz="8" w:space="0"/>
              <w:bottom w:val="single" w:color="000000" w:sz="8" w:space="0"/>
              <w:right w:val="single" w:color="000000" w:sz="8" w:space="0"/>
            </w:tcBorders>
            <w:shd w:val="clear" w:color="auto" w:fill="auto"/>
            <w:vAlign w:val="center"/>
          </w:tcPr>
          <w:p w14:paraId="5C7DBA61">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2025年3月17日</w:t>
            </w:r>
          </w:p>
        </w:tc>
        <w:tc>
          <w:tcPr>
            <w:tcW w:w="5397" w:type="dxa"/>
            <w:tcBorders>
              <w:top w:val="nil"/>
              <w:left w:val="nil"/>
              <w:bottom w:val="single" w:color="000000" w:sz="8" w:space="0"/>
              <w:right w:val="single" w:color="000000" w:sz="8" w:space="0"/>
            </w:tcBorders>
            <w:shd w:val="clear" w:color="auto" w:fill="auto"/>
            <w:vAlign w:val="center"/>
          </w:tcPr>
          <w:p w14:paraId="6C815CDD">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“走进奇妙的茶文化世界”系列活动</w:t>
            </w:r>
          </w:p>
        </w:tc>
      </w:tr>
      <w:tr w14:paraId="3DDFD0B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jc w:val="center"/>
        </w:trPr>
        <w:tc>
          <w:tcPr>
            <w:tcW w:w="3282" w:type="dxa"/>
            <w:tcBorders>
              <w:top w:val="nil"/>
              <w:left w:val="single" w:color="000000" w:sz="8" w:space="0"/>
              <w:bottom w:val="single" w:color="000000" w:sz="8" w:space="0"/>
              <w:right w:val="single" w:color="000000" w:sz="8" w:space="0"/>
            </w:tcBorders>
            <w:shd w:val="clear" w:color="auto" w:fill="auto"/>
            <w:vAlign w:val="center"/>
          </w:tcPr>
          <w:p w14:paraId="4B50312E">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2025年3月18日</w:t>
            </w:r>
          </w:p>
        </w:tc>
        <w:tc>
          <w:tcPr>
            <w:tcW w:w="5397" w:type="dxa"/>
            <w:tcBorders>
              <w:top w:val="nil"/>
              <w:left w:val="nil"/>
              <w:bottom w:val="single" w:color="000000" w:sz="8" w:space="0"/>
              <w:right w:val="single" w:color="000000" w:sz="8" w:space="0"/>
            </w:tcBorders>
            <w:shd w:val="clear" w:color="auto" w:fill="auto"/>
            <w:vAlign w:val="center"/>
          </w:tcPr>
          <w:p w14:paraId="05748744">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贵港市港北区高中研学活动</w:t>
            </w:r>
          </w:p>
        </w:tc>
      </w:tr>
      <w:tr w14:paraId="11A2F9D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jc w:val="center"/>
        </w:trPr>
        <w:tc>
          <w:tcPr>
            <w:tcW w:w="3282" w:type="dxa"/>
            <w:tcBorders>
              <w:top w:val="nil"/>
              <w:left w:val="single" w:color="000000" w:sz="8" w:space="0"/>
              <w:bottom w:val="single" w:color="000000" w:sz="8" w:space="0"/>
              <w:right w:val="single" w:color="000000" w:sz="8" w:space="0"/>
            </w:tcBorders>
            <w:shd w:val="clear" w:color="auto" w:fill="auto"/>
            <w:vAlign w:val="center"/>
          </w:tcPr>
          <w:p w14:paraId="73B46C32">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2025年3月21日</w:t>
            </w:r>
          </w:p>
        </w:tc>
        <w:tc>
          <w:tcPr>
            <w:tcW w:w="5397" w:type="dxa"/>
            <w:tcBorders>
              <w:top w:val="nil"/>
              <w:left w:val="nil"/>
              <w:bottom w:val="single" w:color="000000" w:sz="8" w:space="0"/>
              <w:right w:val="single" w:color="000000" w:sz="8" w:space="0"/>
            </w:tcBorders>
            <w:shd w:val="clear" w:color="auto" w:fill="auto"/>
            <w:vAlign w:val="center"/>
          </w:tcPr>
          <w:p w14:paraId="6506FFDC">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兴宁区研学推介会活动</w:t>
            </w:r>
          </w:p>
        </w:tc>
      </w:tr>
      <w:tr w14:paraId="5727C35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3282" w:type="dxa"/>
            <w:tcBorders>
              <w:top w:val="nil"/>
              <w:left w:val="single" w:color="000000" w:sz="8" w:space="0"/>
              <w:bottom w:val="single" w:color="000000" w:sz="8" w:space="0"/>
              <w:right w:val="single" w:color="000000" w:sz="8" w:space="0"/>
            </w:tcBorders>
            <w:shd w:val="clear" w:color="auto" w:fill="auto"/>
            <w:vAlign w:val="center"/>
          </w:tcPr>
          <w:p w14:paraId="4D0D2EFA">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2025年3月22日</w:t>
            </w:r>
          </w:p>
        </w:tc>
        <w:tc>
          <w:tcPr>
            <w:tcW w:w="5397" w:type="dxa"/>
            <w:tcBorders>
              <w:top w:val="nil"/>
              <w:left w:val="nil"/>
              <w:bottom w:val="single" w:color="000000" w:sz="8" w:space="0"/>
              <w:right w:val="single" w:color="000000" w:sz="8" w:space="0"/>
            </w:tcBorders>
            <w:shd w:val="clear" w:color="auto" w:fill="auto"/>
            <w:vAlign w:val="center"/>
          </w:tcPr>
          <w:p w14:paraId="5B4E5917">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天桃实验学校植树节活动</w:t>
            </w:r>
          </w:p>
        </w:tc>
      </w:tr>
      <w:tr w14:paraId="4C214D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3282" w:type="dxa"/>
            <w:tcBorders>
              <w:top w:val="nil"/>
              <w:left w:val="single" w:color="000000" w:sz="8" w:space="0"/>
              <w:bottom w:val="single" w:color="000000" w:sz="8" w:space="0"/>
              <w:right w:val="single" w:color="000000" w:sz="8" w:space="0"/>
            </w:tcBorders>
            <w:shd w:val="clear" w:color="auto" w:fill="auto"/>
            <w:vAlign w:val="center"/>
          </w:tcPr>
          <w:p w14:paraId="2655D03C">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2025年3月26日</w:t>
            </w:r>
          </w:p>
        </w:tc>
        <w:tc>
          <w:tcPr>
            <w:tcW w:w="5397" w:type="dxa"/>
            <w:tcBorders>
              <w:top w:val="nil"/>
              <w:left w:val="nil"/>
              <w:bottom w:val="single" w:color="000000" w:sz="8" w:space="0"/>
              <w:right w:val="single" w:color="000000" w:sz="8" w:space="0"/>
            </w:tcBorders>
            <w:shd w:val="clear" w:color="auto" w:fill="auto"/>
            <w:vAlign w:val="center"/>
          </w:tcPr>
          <w:p w14:paraId="61085B68">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虎丘小学研学活动</w:t>
            </w:r>
          </w:p>
        </w:tc>
      </w:tr>
      <w:tr w14:paraId="458B00E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3282" w:type="dxa"/>
            <w:tcBorders>
              <w:top w:val="nil"/>
              <w:left w:val="single" w:color="000000" w:sz="8" w:space="0"/>
              <w:bottom w:val="single" w:color="000000" w:sz="8" w:space="0"/>
              <w:right w:val="single" w:color="000000" w:sz="8" w:space="0"/>
            </w:tcBorders>
            <w:shd w:val="clear" w:color="auto" w:fill="auto"/>
            <w:vAlign w:val="center"/>
          </w:tcPr>
          <w:p w14:paraId="248806B0">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2025年3月28日</w:t>
            </w:r>
          </w:p>
        </w:tc>
        <w:tc>
          <w:tcPr>
            <w:tcW w:w="5397" w:type="dxa"/>
            <w:tcBorders>
              <w:top w:val="nil"/>
              <w:left w:val="nil"/>
              <w:bottom w:val="single" w:color="000000" w:sz="8" w:space="0"/>
              <w:right w:val="single" w:color="000000" w:sz="8" w:space="0"/>
            </w:tcBorders>
            <w:shd w:val="clear" w:color="auto" w:fill="auto"/>
            <w:vAlign w:val="center"/>
          </w:tcPr>
          <w:p w14:paraId="402FE25D">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天桃实验学校春季研学活动</w:t>
            </w:r>
          </w:p>
        </w:tc>
      </w:tr>
      <w:tr w14:paraId="4BA2938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3282" w:type="dxa"/>
            <w:tcBorders>
              <w:top w:val="nil"/>
              <w:left w:val="single" w:color="000000" w:sz="8" w:space="0"/>
              <w:bottom w:val="single" w:color="000000" w:sz="8" w:space="0"/>
              <w:right w:val="single" w:color="000000" w:sz="8" w:space="0"/>
            </w:tcBorders>
            <w:shd w:val="clear" w:color="auto" w:fill="auto"/>
            <w:vAlign w:val="center"/>
          </w:tcPr>
          <w:p w14:paraId="5512FDE3">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2025年3月28日</w:t>
            </w:r>
          </w:p>
        </w:tc>
        <w:tc>
          <w:tcPr>
            <w:tcW w:w="5397" w:type="dxa"/>
            <w:tcBorders>
              <w:top w:val="nil"/>
              <w:left w:val="nil"/>
              <w:bottom w:val="single" w:color="000000" w:sz="8" w:space="0"/>
              <w:right w:val="single" w:color="000000" w:sz="8" w:space="0"/>
            </w:tcBorders>
            <w:shd w:val="clear" w:color="auto" w:fill="auto"/>
            <w:vAlign w:val="center"/>
          </w:tcPr>
          <w:p w14:paraId="065AAF5A">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逸夫小学研学活动</w:t>
            </w:r>
          </w:p>
        </w:tc>
      </w:tr>
      <w:tr w14:paraId="34338AE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3282" w:type="dxa"/>
            <w:tcBorders>
              <w:top w:val="nil"/>
              <w:left w:val="single" w:color="000000" w:sz="8" w:space="0"/>
              <w:bottom w:val="single" w:color="000000" w:sz="8" w:space="0"/>
              <w:right w:val="single" w:color="000000" w:sz="8" w:space="0"/>
            </w:tcBorders>
            <w:shd w:val="clear" w:color="auto" w:fill="auto"/>
            <w:vAlign w:val="center"/>
          </w:tcPr>
          <w:p w14:paraId="364799F6">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2025年4月10日</w:t>
            </w:r>
          </w:p>
        </w:tc>
        <w:tc>
          <w:tcPr>
            <w:tcW w:w="5397" w:type="dxa"/>
            <w:tcBorders>
              <w:top w:val="nil"/>
              <w:left w:val="nil"/>
              <w:bottom w:val="single" w:color="000000" w:sz="8" w:space="0"/>
              <w:right w:val="single" w:color="000000" w:sz="8" w:space="0"/>
            </w:tcBorders>
            <w:shd w:val="clear" w:color="auto" w:fill="auto"/>
            <w:vAlign w:val="center"/>
          </w:tcPr>
          <w:p w14:paraId="71B22B35">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“植物大揭秘”主题科普进校园</w:t>
            </w:r>
          </w:p>
        </w:tc>
      </w:tr>
      <w:tr w14:paraId="4BF2530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3282" w:type="dxa"/>
            <w:tcBorders>
              <w:top w:val="nil"/>
              <w:left w:val="single" w:color="000000" w:sz="8" w:space="0"/>
              <w:bottom w:val="single" w:color="000000" w:sz="8" w:space="0"/>
              <w:right w:val="single" w:color="000000" w:sz="8" w:space="0"/>
            </w:tcBorders>
            <w:shd w:val="clear" w:color="auto" w:fill="auto"/>
            <w:vAlign w:val="center"/>
          </w:tcPr>
          <w:p w14:paraId="772D4CBA">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2025年4月11日</w:t>
            </w:r>
          </w:p>
        </w:tc>
        <w:tc>
          <w:tcPr>
            <w:tcW w:w="5397" w:type="dxa"/>
            <w:tcBorders>
              <w:top w:val="nil"/>
              <w:left w:val="nil"/>
              <w:bottom w:val="single" w:color="000000" w:sz="8" w:space="0"/>
              <w:right w:val="single" w:color="000000" w:sz="8" w:space="0"/>
            </w:tcBorders>
            <w:shd w:val="clear" w:color="auto" w:fill="auto"/>
            <w:vAlign w:val="center"/>
          </w:tcPr>
          <w:p w14:paraId="5FF60E10">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植树研学活动</w:t>
            </w:r>
          </w:p>
        </w:tc>
      </w:tr>
      <w:tr w14:paraId="55FDD2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3282" w:type="dxa"/>
            <w:tcBorders>
              <w:top w:val="nil"/>
              <w:left w:val="single" w:color="000000" w:sz="8" w:space="0"/>
              <w:bottom w:val="single" w:color="000000" w:sz="8" w:space="0"/>
              <w:right w:val="single" w:color="000000" w:sz="8" w:space="0"/>
            </w:tcBorders>
            <w:shd w:val="clear" w:color="auto" w:fill="auto"/>
            <w:vAlign w:val="center"/>
          </w:tcPr>
          <w:p w14:paraId="4F1B6B7E">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2025年4月13日</w:t>
            </w:r>
          </w:p>
        </w:tc>
        <w:tc>
          <w:tcPr>
            <w:tcW w:w="5397" w:type="dxa"/>
            <w:tcBorders>
              <w:top w:val="nil"/>
              <w:left w:val="nil"/>
              <w:bottom w:val="single" w:color="000000" w:sz="8" w:space="0"/>
              <w:right w:val="single" w:color="000000" w:sz="8" w:space="0"/>
            </w:tcBorders>
            <w:shd w:val="clear" w:color="auto" w:fill="auto"/>
            <w:vAlign w:val="center"/>
          </w:tcPr>
          <w:p w14:paraId="652E3609">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越秀路小学春游研学活动</w:t>
            </w:r>
          </w:p>
        </w:tc>
      </w:tr>
      <w:tr w14:paraId="2B9798A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3282" w:type="dxa"/>
            <w:tcBorders>
              <w:top w:val="nil"/>
              <w:left w:val="single" w:color="000000" w:sz="8" w:space="0"/>
              <w:bottom w:val="single" w:color="000000" w:sz="8" w:space="0"/>
              <w:right w:val="single" w:color="000000" w:sz="8" w:space="0"/>
            </w:tcBorders>
            <w:shd w:val="clear" w:color="auto" w:fill="auto"/>
            <w:vAlign w:val="center"/>
          </w:tcPr>
          <w:p w14:paraId="3C0C9CB5">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2025年4月17日</w:t>
            </w:r>
          </w:p>
        </w:tc>
        <w:tc>
          <w:tcPr>
            <w:tcW w:w="5397" w:type="dxa"/>
            <w:tcBorders>
              <w:top w:val="nil"/>
              <w:left w:val="nil"/>
              <w:bottom w:val="single" w:color="000000" w:sz="8" w:space="0"/>
              <w:right w:val="single" w:color="000000" w:sz="8" w:space="0"/>
            </w:tcBorders>
            <w:shd w:val="clear" w:color="auto" w:fill="auto"/>
            <w:vAlign w:val="center"/>
          </w:tcPr>
          <w:p w14:paraId="3E9620BF">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金典子幼儿园半日研学活动</w:t>
            </w:r>
          </w:p>
        </w:tc>
      </w:tr>
      <w:tr w14:paraId="51E534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3282" w:type="dxa"/>
            <w:tcBorders>
              <w:top w:val="nil"/>
              <w:left w:val="single" w:color="000000" w:sz="8" w:space="0"/>
              <w:bottom w:val="single" w:color="000000" w:sz="8" w:space="0"/>
              <w:right w:val="single" w:color="000000" w:sz="8" w:space="0"/>
            </w:tcBorders>
            <w:shd w:val="clear" w:color="auto" w:fill="auto"/>
            <w:vAlign w:val="center"/>
          </w:tcPr>
          <w:p w14:paraId="2D316A4D">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2025年4月18日</w:t>
            </w:r>
          </w:p>
        </w:tc>
        <w:tc>
          <w:tcPr>
            <w:tcW w:w="5397" w:type="dxa"/>
            <w:tcBorders>
              <w:top w:val="nil"/>
              <w:left w:val="nil"/>
              <w:bottom w:val="single" w:color="000000" w:sz="8" w:space="0"/>
              <w:right w:val="single" w:color="000000" w:sz="8" w:space="0"/>
            </w:tcBorders>
            <w:shd w:val="clear" w:color="auto" w:fill="auto"/>
            <w:vAlign w:val="center"/>
          </w:tcPr>
          <w:p w14:paraId="03AF71AE">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雅源幼儿园半日研学活动</w:t>
            </w:r>
          </w:p>
        </w:tc>
      </w:tr>
      <w:tr w14:paraId="6E1236F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3282" w:type="dxa"/>
            <w:tcBorders>
              <w:top w:val="nil"/>
              <w:left w:val="single" w:color="000000" w:sz="8" w:space="0"/>
              <w:bottom w:val="single" w:color="000000" w:sz="8" w:space="0"/>
              <w:right w:val="single" w:color="000000" w:sz="8" w:space="0"/>
            </w:tcBorders>
            <w:shd w:val="clear" w:color="auto" w:fill="auto"/>
            <w:vAlign w:val="center"/>
          </w:tcPr>
          <w:p w14:paraId="33BABBA6">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2025年4月19日</w:t>
            </w:r>
          </w:p>
        </w:tc>
        <w:tc>
          <w:tcPr>
            <w:tcW w:w="5397" w:type="dxa"/>
            <w:tcBorders>
              <w:top w:val="nil"/>
              <w:left w:val="nil"/>
              <w:bottom w:val="single" w:color="000000" w:sz="8" w:space="0"/>
              <w:right w:val="single" w:color="000000" w:sz="8" w:space="0"/>
            </w:tcBorders>
            <w:shd w:val="clear" w:color="auto" w:fill="auto"/>
            <w:vAlign w:val="center"/>
          </w:tcPr>
          <w:p w14:paraId="6D59F6B3">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桂雅路小学周末亲子研学活动</w:t>
            </w:r>
          </w:p>
        </w:tc>
      </w:tr>
      <w:tr w14:paraId="5E15A37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3282" w:type="dxa"/>
            <w:tcBorders>
              <w:top w:val="nil"/>
              <w:left w:val="single" w:color="000000" w:sz="8" w:space="0"/>
              <w:bottom w:val="single" w:color="000000" w:sz="8" w:space="0"/>
              <w:right w:val="single" w:color="000000" w:sz="8" w:space="0"/>
            </w:tcBorders>
            <w:shd w:val="clear" w:color="auto" w:fill="auto"/>
            <w:vAlign w:val="center"/>
          </w:tcPr>
          <w:p w14:paraId="58C690EF">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2025年4月19日</w:t>
            </w:r>
          </w:p>
        </w:tc>
        <w:tc>
          <w:tcPr>
            <w:tcW w:w="5397" w:type="dxa"/>
            <w:tcBorders>
              <w:top w:val="nil"/>
              <w:left w:val="nil"/>
              <w:bottom w:val="single" w:color="000000" w:sz="8" w:space="0"/>
              <w:right w:val="single" w:color="000000" w:sz="8" w:space="0"/>
            </w:tcBorders>
            <w:shd w:val="clear" w:color="auto" w:fill="auto"/>
            <w:vAlign w:val="center"/>
          </w:tcPr>
          <w:p w14:paraId="65A67EEC">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广西大学23级播音班校外实践活动</w:t>
            </w:r>
          </w:p>
        </w:tc>
      </w:tr>
      <w:tr w14:paraId="6CF73A0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3282" w:type="dxa"/>
            <w:tcBorders>
              <w:top w:val="nil"/>
              <w:left w:val="single" w:color="000000" w:sz="8" w:space="0"/>
              <w:bottom w:val="single" w:color="000000" w:sz="8" w:space="0"/>
              <w:right w:val="single" w:color="000000" w:sz="8" w:space="0"/>
            </w:tcBorders>
            <w:shd w:val="clear" w:color="auto" w:fill="auto"/>
            <w:vAlign w:val="center"/>
          </w:tcPr>
          <w:p w14:paraId="3A9B61C7">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2025年4月25日</w:t>
            </w:r>
          </w:p>
        </w:tc>
        <w:tc>
          <w:tcPr>
            <w:tcW w:w="5397" w:type="dxa"/>
            <w:tcBorders>
              <w:top w:val="nil"/>
              <w:left w:val="nil"/>
              <w:bottom w:val="single" w:color="000000" w:sz="8" w:space="0"/>
              <w:right w:val="single" w:color="000000" w:sz="8" w:space="0"/>
            </w:tcBorders>
            <w:shd w:val="clear" w:color="auto" w:fill="auto"/>
            <w:vAlign w:val="center"/>
          </w:tcPr>
          <w:p w14:paraId="2921280F">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星湖路小学研学活动</w:t>
            </w:r>
          </w:p>
        </w:tc>
      </w:tr>
      <w:tr w14:paraId="1DF8251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jc w:val="center"/>
        </w:trPr>
        <w:tc>
          <w:tcPr>
            <w:tcW w:w="3282" w:type="dxa"/>
            <w:tcBorders>
              <w:top w:val="nil"/>
              <w:left w:val="single" w:color="000000" w:sz="8" w:space="0"/>
              <w:bottom w:val="single" w:color="auto" w:sz="4" w:space="0"/>
              <w:right w:val="single" w:color="000000" w:sz="8" w:space="0"/>
            </w:tcBorders>
            <w:shd w:val="clear" w:color="auto" w:fill="auto"/>
            <w:vAlign w:val="center"/>
          </w:tcPr>
          <w:p w14:paraId="28732490">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2025年4月30日</w:t>
            </w:r>
          </w:p>
        </w:tc>
        <w:tc>
          <w:tcPr>
            <w:tcW w:w="5397" w:type="dxa"/>
            <w:tcBorders>
              <w:top w:val="nil"/>
              <w:left w:val="nil"/>
              <w:bottom w:val="single" w:color="auto" w:sz="4" w:space="0"/>
              <w:right w:val="single" w:color="000000" w:sz="8" w:space="0"/>
            </w:tcBorders>
            <w:shd w:val="clear" w:color="auto" w:fill="auto"/>
            <w:vAlign w:val="center"/>
          </w:tcPr>
          <w:p w14:paraId="44DB2D6A">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滨湖路小学研学活动</w:t>
            </w:r>
          </w:p>
        </w:tc>
      </w:tr>
    </w:tbl>
    <w:p w14:paraId="43C47020">
      <w:pPr>
        <w:numPr>
          <w:ilvl w:val="0"/>
          <w:numId w:val="0"/>
        </w:numPr>
        <w:ind w:firstLine="422" w:firstLineChars="200"/>
        <w:jc w:val="center"/>
      </w:pPr>
      <w:r>
        <w:rPr>
          <w:rFonts w:hint="eastAsia" w:ascii="仿宋" w:hAnsi="仿宋" w:eastAsia="仿宋" w:cs="仿宋"/>
          <w:b/>
          <w:bCs/>
          <w:sz w:val="21"/>
          <w:szCs w:val="21"/>
          <w:lang w:val="en-US" w:eastAsia="zh-CN"/>
        </w:rPr>
        <w:t>表1 广西热作所全国科普教育基地开展研学课程评价活动记录表（2024年9月-2025年9月）（续）</w:t>
      </w:r>
    </w:p>
    <w:tbl>
      <w:tblPr>
        <w:tblStyle w:val="9"/>
        <w:tblW w:w="8679"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3282"/>
        <w:gridCol w:w="5397"/>
      </w:tblGrid>
      <w:tr w14:paraId="52B87AD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jc w:val="center"/>
        </w:trPr>
        <w:tc>
          <w:tcPr>
            <w:tcW w:w="3282" w:type="dxa"/>
            <w:tcBorders>
              <w:top w:val="single" w:color="auto" w:sz="4" w:space="0"/>
              <w:left w:val="single" w:color="auto" w:sz="4" w:space="0"/>
              <w:bottom w:val="single" w:color="auto" w:sz="4" w:space="0"/>
              <w:right w:val="single" w:color="auto" w:sz="4" w:space="0"/>
            </w:tcBorders>
            <w:shd w:val="clear" w:color="auto" w:fill="auto"/>
            <w:vAlign w:val="center"/>
          </w:tcPr>
          <w:p w14:paraId="1F0CAB49">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b/>
                <w:bCs/>
                <w:i w:val="0"/>
                <w:iCs w:val="0"/>
                <w:color w:val="000000"/>
                <w:kern w:val="0"/>
                <w:sz w:val="21"/>
                <w:szCs w:val="21"/>
                <w:u w:val="none"/>
                <w:lang w:val="en-US" w:eastAsia="zh-CN" w:bidi="ar"/>
              </w:rPr>
              <w:t>时间</w:t>
            </w:r>
          </w:p>
        </w:tc>
        <w:tc>
          <w:tcPr>
            <w:tcW w:w="5397" w:type="dxa"/>
            <w:tcBorders>
              <w:top w:val="single" w:color="auto" w:sz="4" w:space="0"/>
              <w:left w:val="single" w:color="auto" w:sz="4" w:space="0"/>
              <w:bottom w:val="single" w:color="auto" w:sz="4" w:space="0"/>
              <w:right w:val="single" w:color="auto" w:sz="4" w:space="0"/>
            </w:tcBorders>
            <w:shd w:val="clear" w:color="auto" w:fill="auto"/>
            <w:vAlign w:val="center"/>
          </w:tcPr>
          <w:p w14:paraId="3F9892A1">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b/>
                <w:bCs/>
                <w:i w:val="0"/>
                <w:iCs w:val="0"/>
                <w:color w:val="000000"/>
                <w:kern w:val="0"/>
                <w:sz w:val="21"/>
                <w:szCs w:val="21"/>
                <w:u w:val="none"/>
                <w:lang w:val="en-US" w:eastAsia="zh-CN" w:bidi="ar"/>
              </w:rPr>
              <w:t>被评价的研学课程名称</w:t>
            </w:r>
          </w:p>
        </w:tc>
      </w:tr>
      <w:tr w14:paraId="0CDF979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jc w:val="center"/>
        </w:trPr>
        <w:tc>
          <w:tcPr>
            <w:tcW w:w="3282" w:type="dxa"/>
            <w:tcBorders>
              <w:top w:val="single" w:color="auto" w:sz="4" w:space="0"/>
              <w:left w:val="single" w:color="auto" w:sz="4" w:space="0"/>
              <w:bottom w:val="single" w:color="auto" w:sz="4" w:space="0"/>
              <w:right w:val="single" w:color="auto" w:sz="4" w:space="0"/>
            </w:tcBorders>
            <w:shd w:val="clear" w:color="auto" w:fill="auto"/>
            <w:vAlign w:val="center"/>
          </w:tcPr>
          <w:p w14:paraId="617EF561">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2025年5月1日-3日</w:t>
            </w:r>
          </w:p>
        </w:tc>
        <w:tc>
          <w:tcPr>
            <w:tcW w:w="5397" w:type="dxa"/>
            <w:tcBorders>
              <w:top w:val="single" w:color="auto" w:sz="4" w:space="0"/>
              <w:left w:val="single" w:color="auto" w:sz="4" w:space="0"/>
              <w:bottom w:val="single" w:color="auto" w:sz="4" w:space="0"/>
              <w:right w:val="single" w:color="auto" w:sz="4" w:space="0"/>
            </w:tcBorders>
            <w:shd w:val="clear" w:color="auto" w:fill="auto"/>
            <w:vAlign w:val="center"/>
          </w:tcPr>
          <w:p w14:paraId="53EB6A60">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五一劳动节研学开放活动</w:t>
            </w:r>
          </w:p>
        </w:tc>
      </w:tr>
      <w:tr w14:paraId="445FA94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3282" w:type="dxa"/>
            <w:tcBorders>
              <w:top w:val="single" w:color="auto" w:sz="4" w:space="0"/>
              <w:left w:val="single" w:color="auto" w:sz="4" w:space="0"/>
              <w:bottom w:val="single" w:color="auto" w:sz="4" w:space="0"/>
              <w:right w:val="single" w:color="auto" w:sz="4" w:space="0"/>
            </w:tcBorders>
            <w:shd w:val="clear" w:color="auto" w:fill="auto"/>
            <w:vAlign w:val="center"/>
          </w:tcPr>
          <w:p w14:paraId="280DAFF8">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2025年5月16日</w:t>
            </w:r>
          </w:p>
        </w:tc>
        <w:tc>
          <w:tcPr>
            <w:tcW w:w="5397" w:type="dxa"/>
            <w:tcBorders>
              <w:top w:val="single" w:color="auto" w:sz="4" w:space="0"/>
              <w:left w:val="single" w:color="auto" w:sz="4" w:space="0"/>
              <w:bottom w:val="single" w:color="auto" w:sz="4" w:space="0"/>
              <w:right w:val="single" w:color="auto" w:sz="4" w:space="0"/>
            </w:tcBorders>
            <w:shd w:val="clear" w:color="auto" w:fill="auto"/>
            <w:vAlign w:val="center"/>
          </w:tcPr>
          <w:p w14:paraId="6F621B6F">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“走进奇妙的茶文化世界”系列活动</w:t>
            </w:r>
          </w:p>
        </w:tc>
      </w:tr>
      <w:tr w14:paraId="43FA859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3282" w:type="dxa"/>
            <w:tcBorders>
              <w:top w:val="single" w:color="auto" w:sz="4" w:space="0"/>
              <w:left w:val="single" w:color="auto" w:sz="4" w:space="0"/>
              <w:bottom w:val="single" w:color="auto" w:sz="4" w:space="0"/>
              <w:right w:val="single" w:color="auto" w:sz="4" w:space="0"/>
            </w:tcBorders>
            <w:shd w:val="clear" w:color="auto" w:fill="auto"/>
            <w:vAlign w:val="center"/>
          </w:tcPr>
          <w:p w14:paraId="037A95B5">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2025年5月17日</w:t>
            </w:r>
          </w:p>
        </w:tc>
        <w:tc>
          <w:tcPr>
            <w:tcW w:w="5397" w:type="dxa"/>
            <w:tcBorders>
              <w:top w:val="single" w:color="auto" w:sz="4" w:space="0"/>
              <w:left w:val="single" w:color="auto" w:sz="4" w:space="0"/>
              <w:bottom w:val="single" w:color="auto" w:sz="4" w:space="0"/>
              <w:right w:val="single" w:color="auto" w:sz="4" w:space="0"/>
            </w:tcBorders>
            <w:shd w:val="clear" w:color="auto" w:fill="auto"/>
            <w:vAlign w:val="center"/>
          </w:tcPr>
          <w:p w14:paraId="39CD4165">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广西区直三幼儿园研学活动</w:t>
            </w:r>
          </w:p>
        </w:tc>
      </w:tr>
      <w:tr w14:paraId="6FB3652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jc w:val="center"/>
        </w:trPr>
        <w:tc>
          <w:tcPr>
            <w:tcW w:w="3282" w:type="dxa"/>
            <w:tcBorders>
              <w:top w:val="single" w:color="auto" w:sz="4" w:space="0"/>
              <w:left w:val="single" w:color="000000" w:sz="8" w:space="0"/>
              <w:bottom w:val="single" w:color="000000" w:sz="8" w:space="0"/>
              <w:right w:val="single" w:color="000000" w:sz="8" w:space="0"/>
            </w:tcBorders>
            <w:shd w:val="clear" w:color="auto" w:fill="auto"/>
            <w:vAlign w:val="center"/>
          </w:tcPr>
          <w:p w14:paraId="72A09338">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2025年5月24日</w:t>
            </w:r>
          </w:p>
        </w:tc>
        <w:tc>
          <w:tcPr>
            <w:tcW w:w="5397" w:type="dxa"/>
            <w:tcBorders>
              <w:top w:val="single" w:color="auto" w:sz="4" w:space="0"/>
              <w:left w:val="nil"/>
              <w:bottom w:val="single" w:color="000000" w:sz="8" w:space="0"/>
              <w:right w:val="single" w:color="000000" w:sz="8" w:space="0"/>
            </w:tcBorders>
            <w:shd w:val="clear" w:color="auto" w:fill="auto"/>
            <w:vAlign w:val="center"/>
          </w:tcPr>
          <w:p w14:paraId="19001458">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广西区直三幼儿园研学活动</w:t>
            </w:r>
          </w:p>
        </w:tc>
      </w:tr>
      <w:tr w14:paraId="5753853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jc w:val="center"/>
        </w:trPr>
        <w:tc>
          <w:tcPr>
            <w:tcW w:w="3282" w:type="dxa"/>
            <w:tcBorders>
              <w:top w:val="nil"/>
              <w:left w:val="single" w:color="000000" w:sz="8" w:space="0"/>
              <w:bottom w:val="single" w:color="000000" w:sz="8" w:space="0"/>
              <w:right w:val="single" w:color="000000" w:sz="8" w:space="0"/>
            </w:tcBorders>
            <w:shd w:val="clear" w:color="auto" w:fill="auto"/>
            <w:vAlign w:val="center"/>
          </w:tcPr>
          <w:p w14:paraId="6D21DDD7">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2025年5月24日</w:t>
            </w:r>
          </w:p>
        </w:tc>
        <w:tc>
          <w:tcPr>
            <w:tcW w:w="5397" w:type="dxa"/>
            <w:tcBorders>
              <w:top w:val="nil"/>
              <w:left w:val="nil"/>
              <w:bottom w:val="single" w:color="000000" w:sz="8" w:space="0"/>
              <w:right w:val="single" w:color="000000" w:sz="8" w:space="0"/>
            </w:tcBorders>
            <w:shd w:val="clear" w:color="auto" w:fill="auto"/>
            <w:vAlign w:val="center"/>
          </w:tcPr>
          <w:p w14:paraId="1BEE5CEB">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钦州中学初三年级研学活动</w:t>
            </w:r>
          </w:p>
        </w:tc>
      </w:tr>
      <w:tr w14:paraId="3BEB3F1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3282" w:type="dxa"/>
            <w:tcBorders>
              <w:top w:val="nil"/>
              <w:left w:val="single" w:color="000000" w:sz="8" w:space="0"/>
              <w:bottom w:val="single" w:color="000000" w:sz="8" w:space="0"/>
              <w:right w:val="single" w:color="000000" w:sz="8" w:space="0"/>
            </w:tcBorders>
            <w:shd w:val="clear" w:color="auto" w:fill="auto"/>
            <w:vAlign w:val="center"/>
          </w:tcPr>
          <w:p w14:paraId="2115F048">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2025年5月25日</w:t>
            </w:r>
          </w:p>
        </w:tc>
        <w:tc>
          <w:tcPr>
            <w:tcW w:w="5397" w:type="dxa"/>
            <w:tcBorders>
              <w:top w:val="nil"/>
              <w:left w:val="nil"/>
              <w:bottom w:val="single" w:color="000000" w:sz="8" w:space="0"/>
              <w:right w:val="single" w:color="000000" w:sz="8" w:space="0"/>
            </w:tcBorders>
            <w:shd w:val="clear" w:color="auto" w:fill="auto"/>
            <w:vAlign w:val="center"/>
          </w:tcPr>
          <w:p w14:paraId="1C66CFC9">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桂雅路小学周末亲子研学活动</w:t>
            </w:r>
          </w:p>
        </w:tc>
      </w:tr>
      <w:tr w14:paraId="09A89C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3282" w:type="dxa"/>
            <w:tcBorders>
              <w:top w:val="nil"/>
              <w:left w:val="single" w:color="000000" w:sz="8" w:space="0"/>
              <w:bottom w:val="single" w:color="000000" w:sz="8" w:space="0"/>
              <w:right w:val="single" w:color="000000" w:sz="8" w:space="0"/>
            </w:tcBorders>
            <w:shd w:val="clear" w:color="auto" w:fill="auto"/>
            <w:vAlign w:val="center"/>
          </w:tcPr>
          <w:p w14:paraId="0B498880">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2025年5月26日</w:t>
            </w:r>
          </w:p>
        </w:tc>
        <w:tc>
          <w:tcPr>
            <w:tcW w:w="5397" w:type="dxa"/>
            <w:tcBorders>
              <w:top w:val="nil"/>
              <w:left w:val="nil"/>
              <w:bottom w:val="single" w:color="000000" w:sz="8" w:space="0"/>
              <w:right w:val="single" w:color="000000" w:sz="8" w:space="0"/>
            </w:tcBorders>
            <w:shd w:val="clear" w:color="auto" w:fill="auto"/>
            <w:vAlign w:val="center"/>
          </w:tcPr>
          <w:p w14:paraId="0856805C">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科学家精神讲座</w:t>
            </w:r>
          </w:p>
        </w:tc>
      </w:tr>
      <w:tr w14:paraId="5DF3589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jc w:val="center"/>
        </w:trPr>
        <w:tc>
          <w:tcPr>
            <w:tcW w:w="3282" w:type="dxa"/>
            <w:tcBorders>
              <w:top w:val="nil"/>
              <w:left w:val="single" w:color="000000" w:sz="8" w:space="0"/>
              <w:bottom w:val="single" w:color="000000" w:sz="8" w:space="0"/>
              <w:right w:val="single" w:color="000000" w:sz="8" w:space="0"/>
            </w:tcBorders>
            <w:shd w:val="clear" w:color="auto" w:fill="auto"/>
            <w:vAlign w:val="center"/>
          </w:tcPr>
          <w:p w14:paraId="1D647C4D">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2025年6月4日</w:t>
            </w:r>
          </w:p>
        </w:tc>
        <w:tc>
          <w:tcPr>
            <w:tcW w:w="5397" w:type="dxa"/>
            <w:tcBorders>
              <w:top w:val="nil"/>
              <w:left w:val="nil"/>
              <w:bottom w:val="single" w:color="000000" w:sz="8" w:space="0"/>
              <w:right w:val="single" w:color="000000" w:sz="8" w:space="0"/>
            </w:tcBorders>
            <w:shd w:val="clear" w:color="auto" w:fill="auto"/>
            <w:vAlign w:val="center"/>
          </w:tcPr>
          <w:p w14:paraId="7C200F3E">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振宁花园幼儿园研学活动</w:t>
            </w:r>
          </w:p>
        </w:tc>
      </w:tr>
      <w:tr w14:paraId="598F264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jc w:val="center"/>
        </w:trPr>
        <w:tc>
          <w:tcPr>
            <w:tcW w:w="3282" w:type="dxa"/>
            <w:tcBorders>
              <w:top w:val="nil"/>
              <w:left w:val="single" w:color="000000" w:sz="8" w:space="0"/>
              <w:bottom w:val="single" w:color="000000" w:sz="8" w:space="0"/>
              <w:right w:val="single" w:color="000000" w:sz="8" w:space="0"/>
            </w:tcBorders>
            <w:shd w:val="clear" w:color="auto" w:fill="auto"/>
            <w:vAlign w:val="center"/>
          </w:tcPr>
          <w:p w14:paraId="23A81677">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2025年6月5日</w:t>
            </w:r>
          </w:p>
        </w:tc>
        <w:tc>
          <w:tcPr>
            <w:tcW w:w="5397" w:type="dxa"/>
            <w:tcBorders>
              <w:top w:val="nil"/>
              <w:left w:val="nil"/>
              <w:bottom w:val="single" w:color="000000" w:sz="8" w:space="0"/>
              <w:right w:val="single" w:color="000000" w:sz="8" w:space="0"/>
            </w:tcBorders>
            <w:shd w:val="clear" w:color="auto" w:fill="auto"/>
            <w:vAlign w:val="center"/>
          </w:tcPr>
          <w:p w14:paraId="44D953D6">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桃李水悦龙湾幼儿园半日研学活动</w:t>
            </w:r>
          </w:p>
        </w:tc>
      </w:tr>
      <w:tr w14:paraId="76156E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3282" w:type="dxa"/>
            <w:tcBorders>
              <w:top w:val="nil"/>
              <w:left w:val="single" w:color="000000" w:sz="8" w:space="0"/>
              <w:bottom w:val="single" w:color="000000" w:sz="8" w:space="0"/>
              <w:right w:val="single" w:color="000000" w:sz="8" w:space="0"/>
            </w:tcBorders>
            <w:shd w:val="clear" w:color="auto" w:fill="auto"/>
            <w:vAlign w:val="center"/>
          </w:tcPr>
          <w:p w14:paraId="27E43D53">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2025年6月6日</w:t>
            </w:r>
          </w:p>
        </w:tc>
        <w:tc>
          <w:tcPr>
            <w:tcW w:w="5397" w:type="dxa"/>
            <w:tcBorders>
              <w:top w:val="nil"/>
              <w:left w:val="nil"/>
              <w:bottom w:val="single" w:color="000000" w:sz="8" w:space="0"/>
              <w:right w:val="single" w:color="000000" w:sz="8" w:space="0"/>
            </w:tcBorders>
            <w:shd w:val="clear" w:color="auto" w:fill="auto"/>
            <w:vAlign w:val="center"/>
          </w:tcPr>
          <w:p w14:paraId="4C2221FD">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普罗幼儿园研学活动</w:t>
            </w:r>
          </w:p>
        </w:tc>
      </w:tr>
      <w:tr w14:paraId="3A40EB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3282" w:type="dxa"/>
            <w:tcBorders>
              <w:top w:val="nil"/>
              <w:left w:val="single" w:color="000000" w:sz="8" w:space="0"/>
              <w:bottom w:val="single" w:color="000000" w:sz="8" w:space="0"/>
              <w:right w:val="single" w:color="000000" w:sz="8" w:space="0"/>
            </w:tcBorders>
            <w:shd w:val="clear" w:color="auto" w:fill="auto"/>
            <w:vAlign w:val="center"/>
          </w:tcPr>
          <w:p w14:paraId="11C3F585">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2025年6月7日</w:t>
            </w:r>
          </w:p>
        </w:tc>
        <w:tc>
          <w:tcPr>
            <w:tcW w:w="5397" w:type="dxa"/>
            <w:tcBorders>
              <w:top w:val="nil"/>
              <w:left w:val="nil"/>
              <w:bottom w:val="single" w:color="000000" w:sz="8" w:space="0"/>
              <w:right w:val="single" w:color="000000" w:sz="8" w:space="0"/>
            </w:tcBorders>
            <w:shd w:val="clear" w:color="auto" w:fill="auto"/>
            <w:vAlign w:val="center"/>
          </w:tcPr>
          <w:p w14:paraId="5E630B69">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桂雅路小学研学活动</w:t>
            </w:r>
          </w:p>
        </w:tc>
      </w:tr>
      <w:tr w14:paraId="5438846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3282" w:type="dxa"/>
            <w:tcBorders>
              <w:top w:val="nil"/>
              <w:left w:val="single" w:color="000000" w:sz="8" w:space="0"/>
              <w:bottom w:val="single" w:color="000000" w:sz="8" w:space="0"/>
              <w:right w:val="single" w:color="000000" w:sz="8" w:space="0"/>
            </w:tcBorders>
            <w:shd w:val="clear" w:color="auto" w:fill="auto"/>
            <w:vAlign w:val="center"/>
          </w:tcPr>
          <w:p w14:paraId="4E16F41E">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2025年6月7日</w:t>
            </w:r>
          </w:p>
        </w:tc>
        <w:tc>
          <w:tcPr>
            <w:tcW w:w="5397" w:type="dxa"/>
            <w:tcBorders>
              <w:top w:val="nil"/>
              <w:left w:val="nil"/>
              <w:bottom w:val="single" w:color="000000" w:sz="8" w:space="0"/>
              <w:right w:val="single" w:color="000000" w:sz="8" w:space="0"/>
            </w:tcBorders>
            <w:shd w:val="clear" w:color="auto" w:fill="auto"/>
            <w:vAlign w:val="center"/>
          </w:tcPr>
          <w:p w14:paraId="76844FF8">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红领巾校园小记者站研学活动</w:t>
            </w:r>
          </w:p>
        </w:tc>
      </w:tr>
      <w:tr w14:paraId="7595BA3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jc w:val="center"/>
        </w:trPr>
        <w:tc>
          <w:tcPr>
            <w:tcW w:w="3282" w:type="dxa"/>
            <w:tcBorders>
              <w:top w:val="nil"/>
              <w:left w:val="single" w:color="000000" w:sz="8" w:space="0"/>
              <w:bottom w:val="single" w:color="000000" w:sz="8" w:space="0"/>
              <w:right w:val="single" w:color="000000" w:sz="8" w:space="0"/>
            </w:tcBorders>
            <w:shd w:val="clear" w:color="auto" w:fill="auto"/>
            <w:vAlign w:val="center"/>
          </w:tcPr>
          <w:p w14:paraId="6EBFF47E">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2025年6月8日</w:t>
            </w:r>
          </w:p>
        </w:tc>
        <w:tc>
          <w:tcPr>
            <w:tcW w:w="5397" w:type="dxa"/>
            <w:tcBorders>
              <w:top w:val="nil"/>
              <w:left w:val="nil"/>
              <w:bottom w:val="single" w:color="000000" w:sz="8" w:space="0"/>
              <w:right w:val="single" w:color="000000" w:sz="8" w:space="0"/>
            </w:tcBorders>
            <w:shd w:val="clear" w:color="auto" w:fill="auto"/>
            <w:vAlign w:val="center"/>
          </w:tcPr>
          <w:p w14:paraId="3DDFFB78">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广西区直三幼儿园研学活动</w:t>
            </w:r>
          </w:p>
        </w:tc>
      </w:tr>
      <w:tr w14:paraId="18BAA5D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jc w:val="center"/>
        </w:trPr>
        <w:tc>
          <w:tcPr>
            <w:tcW w:w="3282" w:type="dxa"/>
            <w:tcBorders>
              <w:top w:val="nil"/>
              <w:left w:val="single" w:color="000000" w:sz="8" w:space="0"/>
              <w:bottom w:val="single" w:color="000000" w:sz="8" w:space="0"/>
              <w:right w:val="single" w:color="000000" w:sz="8" w:space="0"/>
            </w:tcBorders>
            <w:shd w:val="clear" w:color="auto" w:fill="auto"/>
            <w:vAlign w:val="center"/>
          </w:tcPr>
          <w:p w14:paraId="2202A096">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2025年6月20日</w:t>
            </w:r>
          </w:p>
        </w:tc>
        <w:tc>
          <w:tcPr>
            <w:tcW w:w="5397" w:type="dxa"/>
            <w:tcBorders>
              <w:top w:val="nil"/>
              <w:left w:val="nil"/>
              <w:bottom w:val="single" w:color="000000" w:sz="8" w:space="0"/>
              <w:right w:val="single" w:color="000000" w:sz="8" w:space="0"/>
            </w:tcBorders>
            <w:shd w:val="clear" w:color="auto" w:fill="auto"/>
            <w:vAlign w:val="center"/>
          </w:tcPr>
          <w:p w14:paraId="1C217F51">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金路桥幼儿园研学活动</w:t>
            </w:r>
          </w:p>
        </w:tc>
      </w:tr>
      <w:tr w14:paraId="21542DB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3282" w:type="dxa"/>
            <w:tcBorders>
              <w:top w:val="nil"/>
              <w:left w:val="single" w:color="000000" w:sz="8" w:space="0"/>
              <w:bottom w:val="single" w:color="000000" w:sz="8" w:space="0"/>
              <w:right w:val="single" w:color="000000" w:sz="8" w:space="0"/>
            </w:tcBorders>
            <w:shd w:val="clear" w:color="auto" w:fill="auto"/>
            <w:vAlign w:val="center"/>
          </w:tcPr>
          <w:p w14:paraId="680E93F0">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2025年6月21-22日</w:t>
            </w:r>
          </w:p>
        </w:tc>
        <w:tc>
          <w:tcPr>
            <w:tcW w:w="5397" w:type="dxa"/>
            <w:tcBorders>
              <w:top w:val="nil"/>
              <w:left w:val="nil"/>
              <w:bottom w:val="single" w:color="000000" w:sz="8" w:space="0"/>
              <w:right w:val="single" w:color="000000" w:sz="8" w:space="0"/>
            </w:tcBorders>
            <w:shd w:val="clear" w:color="auto" w:fill="auto"/>
            <w:vAlign w:val="center"/>
          </w:tcPr>
          <w:p w14:paraId="6DA44517">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亲萌儿童之家研学活动</w:t>
            </w:r>
          </w:p>
        </w:tc>
      </w:tr>
      <w:tr w14:paraId="43DCE50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3282" w:type="dxa"/>
            <w:tcBorders>
              <w:top w:val="nil"/>
              <w:left w:val="single" w:color="000000" w:sz="8" w:space="0"/>
              <w:bottom w:val="single" w:color="000000" w:sz="8" w:space="0"/>
              <w:right w:val="single" w:color="000000" w:sz="8" w:space="0"/>
            </w:tcBorders>
            <w:shd w:val="clear" w:color="auto" w:fill="auto"/>
            <w:vAlign w:val="center"/>
          </w:tcPr>
          <w:p w14:paraId="568791BB">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2025年6月26日</w:t>
            </w:r>
          </w:p>
        </w:tc>
        <w:tc>
          <w:tcPr>
            <w:tcW w:w="5397" w:type="dxa"/>
            <w:tcBorders>
              <w:top w:val="nil"/>
              <w:left w:val="nil"/>
              <w:bottom w:val="single" w:color="000000" w:sz="8" w:space="0"/>
              <w:right w:val="single" w:color="000000" w:sz="8" w:space="0"/>
            </w:tcBorders>
            <w:shd w:val="clear" w:color="auto" w:fill="auto"/>
            <w:vAlign w:val="center"/>
          </w:tcPr>
          <w:p w14:paraId="572DB69D">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福娃幼儿园毕业游园会</w:t>
            </w:r>
          </w:p>
        </w:tc>
      </w:tr>
      <w:tr w14:paraId="032F9EA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3282" w:type="dxa"/>
            <w:tcBorders>
              <w:top w:val="nil"/>
              <w:left w:val="single" w:color="000000" w:sz="8" w:space="0"/>
              <w:bottom w:val="single" w:color="000000" w:sz="8" w:space="0"/>
              <w:right w:val="single" w:color="000000" w:sz="8" w:space="0"/>
            </w:tcBorders>
            <w:shd w:val="clear" w:color="auto" w:fill="auto"/>
            <w:vAlign w:val="center"/>
          </w:tcPr>
          <w:p w14:paraId="73CD9ADF">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2025年6月28日</w:t>
            </w:r>
          </w:p>
        </w:tc>
        <w:tc>
          <w:tcPr>
            <w:tcW w:w="5397" w:type="dxa"/>
            <w:tcBorders>
              <w:top w:val="nil"/>
              <w:left w:val="nil"/>
              <w:bottom w:val="single" w:color="000000" w:sz="8" w:space="0"/>
              <w:right w:val="single" w:color="000000" w:sz="8" w:space="0"/>
            </w:tcBorders>
            <w:shd w:val="clear" w:color="auto" w:fill="auto"/>
            <w:vAlign w:val="center"/>
          </w:tcPr>
          <w:p w14:paraId="4607408E">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福娃幼儿园毕业研学活动</w:t>
            </w:r>
          </w:p>
        </w:tc>
      </w:tr>
      <w:tr w14:paraId="5036101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3282" w:type="dxa"/>
            <w:tcBorders>
              <w:top w:val="nil"/>
              <w:left w:val="single" w:color="000000" w:sz="8" w:space="0"/>
              <w:bottom w:val="single" w:color="000000" w:sz="8" w:space="0"/>
              <w:right w:val="single" w:color="000000" w:sz="8" w:space="0"/>
            </w:tcBorders>
            <w:shd w:val="clear" w:color="auto" w:fill="auto"/>
            <w:vAlign w:val="center"/>
          </w:tcPr>
          <w:p w14:paraId="1DEB4A41">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2025年7月14日-18日</w:t>
            </w:r>
          </w:p>
        </w:tc>
        <w:tc>
          <w:tcPr>
            <w:tcW w:w="5397" w:type="dxa"/>
            <w:tcBorders>
              <w:top w:val="nil"/>
              <w:left w:val="nil"/>
              <w:bottom w:val="single" w:color="000000" w:sz="8" w:space="0"/>
              <w:right w:val="single" w:color="000000" w:sz="8" w:space="0"/>
            </w:tcBorders>
            <w:shd w:val="clear" w:color="auto" w:fill="auto"/>
            <w:vAlign w:val="center"/>
          </w:tcPr>
          <w:p w14:paraId="17924A55">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大自然生存智慧福娃科考营研学活动</w:t>
            </w:r>
          </w:p>
        </w:tc>
      </w:tr>
      <w:tr w14:paraId="0302063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3282" w:type="dxa"/>
            <w:tcBorders>
              <w:top w:val="nil"/>
              <w:left w:val="single" w:color="000000" w:sz="8" w:space="0"/>
              <w:bottom w:val="single" w:color="000000" w:sz="8" w:space="0"/>
              <w:right w:val="single" w:color="000000" w:sz="8" w:space="0"/>
            </w:tcBorders>
            <w:shd w:val="clear" w:color="auto" w:fill="auto"/>
            <w:vAlign w:val="center"/>
          </w:tcPr>
          <w:p w14:paraId="1A2FC8F1">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2025年7月21日-25日</w:t>
            </w:r>
          </w:p>
        </w:tc>
        <w:tc>
          <w:tcPr>
            <w:tcW w:w="5397" w:type="dxa"/>
            <w:tcBorders>
              <w:top w:val="nil"/>
              <w:left w:val="nil"/>
              <w:bottom w:val="single" w:color="000000" w:sz="8" w:space="0"/>
              <w:right w:val="single" w:color="000000" w:sz="8" w:space="0"/>
            </w:tcBorders>
            <w:shd w:val="clear" w:color="auto" w:fill="auto"/>
            <w:vAlign w:val="center"/>
          </w:tcPr>
          <w:p w14:paraId="2192FDED">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昆虫与植物的秘密交易科考营研学活动</w:t>
            </w:r>
          </w:p>
        </w:tc>
      </w:tr>
      <w:tr w14:paraId="70CD569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3282" w:type="dxa"/>
            <w:tcBorders>
              <w:top w:val="nil"/>
              <w:left w:val="single" w:color="000000" w:sz="8" w:space="0"/>
              <w:bottom w:val="single" w:color="000000" w:sz="8" w:space="0"/>
              <w:right w:val="single" w:color="000000" w:sz="8" w:space="0"/>
            </w:tcBorders>
            <w:shd w:val="clear" w:color="auto" w:fill="auto"/>
            <w:vAlign w:val="center"/>
          </w:tcPr>
          <w:p w14:paraId="2139DF12">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2025年7月28日-8月1日</w:t>
            </w:r>
          </w:p>
        </w:tc>
        <w:tc>
          <w:tcPr>
            <w:tcW w:w="5397" w:type="dxa"/>
            <w:tcBorders>
              <w:top w:val="nil"/>
              <w:left w:val="nil"/>
              <w:bottom w:val="single" w:color="000000" w:sz="8" w:space="0"/>
              <w:right w:val="single" w:color="000000" w:sz="8" w:space="0"/>
            </w:tcBorders>
            <w:shd w:val="clear" w:color="auto" w:fill="auto"/>
            <w:vAlign w:val="center"/>
          </w:tcPr>
          <w:p w14:paraId="649D5250">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一滴水的奇妙旅行福娃科考营研学活动</w:t>
            </w:r>
          </w:p>
        </w:tc>
      </w:tr>
      <w:tr w14:paraId="6FCE524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3282" w:type="dxa"/>
            <w:tcBorders>
              <w:top w:val="nil"/>
              <w:left w:val="single" w:color="000000" w:sz="8" w:space="0"/>
              <w:bottom w:val="single" w:color="000000" w:sz="8" w:space="0"/>
              <w:right w:val="single" w:color="000000" w:sz="8" w:space="0"/>
            </w:tcBorders>
            <w:shd w:val="clear" w:color="auto" w:fill="auto"/>
            <w:vAlign w:val="center"/>
          </w:tcPr>
          <w:p w14:paraId="0D9EB998">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2025年9月13日</w:t>
            </w:r>
          </w:p>
        </w:tc>
        <w:tc>
          <w:tcPr>
            <w:tcW w:w="5397" w:type="dxa"/>
            <w:tcBorders>
              <w:top w:val="nil"/>
              <w:left w:val="nil"/>
              <w:bottom w:val="single" w:color="000000" w:sz="8" w:space="0"/>
              <w:right w:val="single" w:color="000000" w:sz="8" w:space="0"/>
            </w:tcBorders>
            <w:shd w:val="clear" w:color="auto" w:fill="auto"/>
            <w:vAlign w:val="center"/>
          </w:tcPr>
          <w:p w14:paraId="5EE8E7DC">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福娃幼儿园蒲葵班亲子研学活动</w:t>
            </w:r>
          </w:p>
        </w:tc>
      </w:tr>
      <w:tr w14:paraId="6B27DFD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3282" w:type="dxa"/>
            <w:tcBorders>
              <w:top w:val="nil"/>
              <w:left w:val="single" w:color="000000" w:sz="8" w:space="0"/>
              <w:bottom w:val="single" w:color="auto" w:sz="4" w:space="0"/>
              <w:right w:val="single" w:color="000000" w:sz="8" w:space="0"/>
            </w:tcBorders>
            <w:shd w:val="clear" w:color="auto" w:fill="auto"/>
            <w:vAlign w:val="center"/>
          </w:tcPr>
          <w:p w14:paraId="13500BAF">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2025年9月14日</w:t>
            </w:r>
          </w:p>
        </w:tc>
        <w:tc>
          <w:tcPr>
            <w:tcW w:w="5397" w:type="dxa"/>
            <w:tcBorders>
              <w:top w:val="nil"/>
              <w:left w:val="nil"/>
              <w:bottom w:val="single" w:color="auto" w:sz="4" w:space="0"/>
              <w:right w:val="single" w:color="000000" w:sz="8" w:space="0"/>
            </w:tcBorders>
            <w:shd w:val="clear" w:color="auto" w:fill="auto"/>
            <w:vAlign w:val="center"/>
          </w:tcPr>
          <w:p w14:paraId="76E03E2A">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福娃幼儿园枫树柠檬班亲子研学活动</w:t>
            </w:r>
          </w:p>
        </w:tc>
      </w:tr>
      <w:tr w14:paraId="3752AEC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jc w:val="center"/>
        </w:trPr>
        <w:tc>
          <w:tcPr>
            <w:tcW w:w="3282" w:type="dxa"/>
            <w:tcBorders>
              <w:top w:val="single" w:color="auto" w:sz="4" w:space="0"/>
              <w:left w:val="single" w:color="auto" w:sz="4" w:space="0"/>
              <w:bottom w:val="single" w:color="auto" w:sz="4" w:space="0"/>
              <w:right w:val="single" w:color="auto" w:sz="4" w:space="0"/>
            </w:tcBorders>
            <w:shd w:val="clear" w:color="auto" w:fill="auto"/>
            <w:noWrap/>
            <w:vAlign w:val="center"/>
          </w:tcPr>
          <w:p w14:paraId="31951000">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p>
        </w:tc>
        <w:tc>
          <w:tcPr>
            <w:tcW w:w="5397" w:type="dxa"/>
            <w:tcBorders>
              <w:top w:val="single" w:color="auto" w:sz="4" w:space="0"/>
              <w:left w:val="single" w:color="auto" w:sz="4" w:space="0"/>
              <w:bottom w:val="single" w:color="auto" w:sz="4" w:space="0"/>
              <w:right w:val="single" w:color="auto" w:sz="4" w:space="0"/>
            </w:tcBorders>
            <w:shd w:val="clear" w:color="auto" w:fill="auto"/>
            <w:noWrap/>
            <w:vAlign w:val="center"/>
          </w:tcPr>
          <w:p w14:paraId="523F727B">
            <w:pPr>
              <w:keepNext w:val="0"/>
              <w:keepLines w:val="0"/>
              <w:widowControl/>
              <w:suppressLineNumbers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合计</w:t>
            </w:r>
          </w:p>
        </w:tc>
      </w:tr>
    </w:tbl>
    <w:p w14:paraId="09CA57C3">
      <w:pPr>
        <w:pStyle w:val="4"/>
        <w:keepNext w:val="0"/>
        <w:keepLines w:val="0"/>
        <w:pageBreakBefore w:val="0"/>
        <w:widowControl w:val="0"/>
        <w:numPr>
          <w:ilvl w:val="0"/>
          <w:numId w:val="0"/>
        </w:numPr>
        <w:kinsoku/>
        <w:wordWrap/>
        <w:overflowPunct/>
        <w:topLinePunct w:val="0"/>
        <w:autoSpaceDE/>
        <w:autoSpaceDN/>
        <w:bidi w:val="0"/>
        <w:adjustRightInd/>
        <w:snapToGrid w:val="0"/>
        <w:spacing w:line="360" w:lineRule="auto"/>
        <w:ind w:firstLine="422" w:firstLineChars="200"/>
        <w:jc w:val="center"/>
        <w:textAlignment w:val="auto"/>
        <w:outlineLvl w:val="0"/>
        <w:rPr>
          <w:rFonts w:hint="eastAsia" w:ascii="仿宋" w:hAnsi="仿宋" w:eastAsia="仿宋" w:cs="仿宋"/>
          <w:b/>
          <w:bCs/>
          <w:kern w:val="2"/>
          <w:sz w:val="21"/>
          <w:szCs w:val="21"/>
          <w:lang w:val="en-US" w:eastAsia="zh-CN" w:bidi="ar-SA"/>
        </w:rPr>
        <w:sectPr>
          <w:footerReference r:id="rId5" w:type="default"/>
          <w:pgSz w:w="11906" w:h="16838"/>
          <w:pgMar w:top="1383" w:right="1633" w:bottom="1327" w:left="1633" w:header="0" w:footer="992" w:gutter="0"/>
          <w:pgNumType w:fmt="decimal"/>
          <w:cols w:space="0" w:num="1"/>
          <w:rtlGutter w:val="0"/>
          <w:docGrid w:linePitch="0" w:charSpace="0"/>
        </w:sectPr>
      </w:pPr>
    </w:p>
    <w:p w14:paraId="641D1598">
      <w:pPr>
        <w:pStyle w:val="4"/>
        <w:keepNext w:val="0"/>
        <w:keepLines w:val="0"/>
        <w:pageBreakBefore w:val="0"/>
        <w:widowControl w:val="0"/>
        <w:numPr>
          <w:ilvl w:val="0"/>
          <w:numId w:val="0"/>
        </w:numPr>
        <w:kinsoku/>
        <w:wordWrap/>
        <w:overflowPunct/>
        <w:topLinePunct w:val="0"/>
        <w:autoSpaceDE/>
        <w:autoSpaceDN/>
        <w:bidi w:val="0"/>
        <w:adjustRightInd/>
        <w:snapToGrid w:val="0"/>
        <w:spacing w:line="360" w:lineRule="auto"/>
        <w:jc w:val="both"/>
        <w:textAlignment w:val="auto"/>
        <w:outlineLvl w:val="0"/>
        <w:rPr>
          <w:rFonts w:hint="eastAsia" w:ascii="仿宋" w:hAnsi="仿宋" w:eastAsia="仿宋" w:cs="仿宋"/>
          <w:b/>
          <w:bCs/>
          <w:kern w:val="2"/>
          <w:sz w:val="21"/>
          <w:szCs w:val="21"/>
          <w:lang w:val="en-US" w:eastAsia="zh-CN" w:bidi="ar-SA"/>
        </w:rPr>
      </w:pPr>
    </w:p>
    <w:p w14:paraId="0D924CDE">
      <w:pPr>
        <w:pStyle w:val="4"/>
        <w:keepNext w:val="0"/>
        <w:keepLines w:val="0"/>
        <w:pageBreakBefore w:val="0"/>
        <w:widowControl w:val="0"/>
        <w:numPr>
          <w:ilvl w:val="0"/>
          <w:numId w:val="0"/>
        </w:numPr>
        <w:kinsoku/>
        <w:wordWrap/>
        <w:overflowPunct/>
        <w:topLinePunct w:val="0"/>
        <w:autoSpaceDE/>
        <w:autoSpaceDN/>
        <w:bidi w:val="0"/>
        <w:adjustRightInd/>
        <w:snapToGrid w:val="0"/>
        <w:spacing w:line="360" w:lineRule="auto"/>
        <w:ind w:firstLine="422" w:firstLineChars="200"/>
        <w:jc w:val="center"/>
        <w:textAlignment w:val="auto"/>
        <w:outlineLvl w:val="0"/>
        <w:rPr>
          <w:rFonts w:hint="eastAsia" w:ascii="仿宋" w:hAnsi="仿宋" w:eastAsia="仿宋" w:cs="仿宋"/>
          <w:b/>
          <w:bCs/>
          <w:kern w:val="2"/>
          <w:sz w:val="21"/>
          <w:szCs w:val="21"/>
          <w:lang w:val="en-US" w:eastAsia="zh-CN" w:bidi="ar-SA"/>
        </w:rPr>
      </w:pPr>
      <w:r>
        <w:rPr>
          <w:rFonts w:hint="eastAsia" w:ascii="仿宋" w:hAnsi="仿宋" w:eastAsia="仿宋" w:cs="仿宋"/>
          <w:b/>
          <w:bCs/>
          <w:kern w:val="2"/>
          <w:sz w:val="21"/>
          <w:szCs w:val="21"/>
          <w:lang w:val="en-US" w:eastAsia="zh-CN" w:bidi="ar-SA"/>
        </w:rPr>
        <w:t>表2 广西热作所中小学生研学课程</w:t>
      </w:r>
    </w:p>
    <w:tbl>
      <w:tblPr>
        <w:tblStyle w:val="1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72"/>
        <w:gridCol w:w="2192"/>
        <w:gridCol w:w="2219"/>
        <w:gridCol w:w="636"/>
        <w:gridCol w:w="778"/>
        <w:gridCol w:w="2333"/>
      </w:tblGrid>
      <w:tr w14:paraId="4C2360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jc w:val="center"/>
        </w:trPr>
        <w:tc>
          <w:tcPr>
            <w:tcW w:w="0" w:type="auto"/>
            <w:noWrap w:val="0"/>
            <w:vAlign w:val="center"/>
          </w:tcPr>
          <w:p w14:paraId="0848978F">
            <w:pPr>
              <w:keepNext w:val="0"/>
              <w:keepLines w:val="0"/>
              <w:pageBreakBefore w:val="0"/>
              <w:widowControl/>
              <w:suppressLineNumbers w:val="0"/>
              <w:kinsoku/>
              <w:wordWrap/>
              <w:overflowPunct/>
              <w:topLinePunct w:val="0"/>
              <w:autoSpaceDE/>
              <w:autoSpaceDN/>
              <w:bidi w:val="0"/>
              <w:adjustRightInd/>
              <w:snapToGrid w:val="0"/>
              <w:spacing w:line="240" w:lineRule="exact"/>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序号</w:t>
            </w:r>
          </w:p>
        </w:tc>
        <w:tc>
          <w:tcPr>
            <w:tcW w:w="0" w:type="auto"/>
            <w:noWrap w:val="0"/>
            <w:vAlign w:val="center"/>
          </w:tcPr>
          <w:p w14:paraId="6EE5A572">
            <w:pPr>
              <w:keepNext w:val="0"/>
              <w:keepLines w:val="0"/>
              <w:pageBreakBefore w:val="0"/>
              <w:widowControl/>
              <w:suppressLineNumbers w:val="0"/>
              <w:kinsoku/>
              <w:wordWrap/>
              <w:overflowPunct/>
              <w:topLinePunct w:val="0"/>
              <w:autoSpaceDE/>
              <w:autoSpaceDN/>
              <w:bidi w:val="0"/>
              <w:adjustRightInd/>
              <w:snapToGrid w:val="0"/>
              <w:spacing w:line="240" w:lineRule="exact"/>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课程名称</w:t>
            </w:r>
          </w:p>
        </w:tc>
        <w:tc>
          <w:tcPr>
            <w:tcW w:w="2219" w:type="dxa"/>
            <w:noWrap w:val="0"/>
            <w:vAlign w:val="center"/>
          </w:tcPr>
          <w:p w14:paraId="0E5C289E">
            <w:pPr>
              <w:keepNext w:val="0"/>
              <w:keepLines w:val="0"/>
              <w:pageBreakBefore w:val="0"/>
              <w:widowControl/>
              <w:suppressLineNumbers w:val="0"/>
              <w:kinsoku/>
              <w:wordWrap/>
              <w:overflowPunct/>
              <w:topLinePunct w:val="0"/>
              <w:autoSpaceDE/>
              <w:autoSpaceDN/>
              <w:bidi w:val="0"/>
              <w:adjustRightInd/>
              <w:snapToGrid w:val="0"/>
              <w:spacing w:line="240" w:lineRule="exact"/>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课程内容</w:t>
            </w:r>
          </w:p>
        </w:tc>
        <w:tc>
          <w:tcPr>
            <w:tcW w:w="636" w:type="dxa"/>
            <w:noWrap w:val="0"/>
            <w:vAlign w:val="center"/>
          </w:tcPr>
          <w:p w14:paraId="050FCA0C">
            <w:pPr>
              <w:keepNext w:val="0"/>
              <w:keepLines w:val="0"/>
              <w:pageBreakBefore w:val="0"/>
              <w:widowControl/>
              <w:suppressLineNumbers w:val="0"/>
              <w:kinsoku/>
              <w:wordWrap/>
              <w:overflowPunct/>
              <w:topLinePunct w:val="0"/>
              <w:autoSpaceDE/>
              <w:autoSpaceDN/>
              <w:bidi w:val="0"/>
              <w:adjustRightInd/>
              <w:snapToGrid w:val="0"/>
              <w:spacing w:line="240" w:lineRule="exact"/>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人数</w:t>
            </w:r>
          </w:p>
        </w:tc>
        <w:tc>
          <w:tcPr>
            <w:tcW w:w="778" w:type="dxa"/>
            <w:noWrap w:val="0"/>
            <w:vAlign w:val="center"/>
          </w:tcPr>
          <w:p w14:paraId="78184AEE">
            <w:pPr>
              <w:keepNext w:val="0"/>
              <w:keepLines w:val="0"/>
              <w:pageBreakBefore w:val="0"/>
              <w:widowControl/>
              <w:suppressLineNumbers w:val="0"/>
              <w:kinsoku/>
              <w:wordWrap/>
              <w:overflowPunct/>
              <w:topLinePunct w:val="0"/>
              <w:autoSpaceDE/>
              <w:autoSpaceDN/>
              <w:bidi w:val="0"/>
              <w:adjustRightInd/>
              <w:snapToGrid w:val="0"/>
              <w:spacing w:line="240" w:lineRule="exact"/>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课程</w:t>
            </w:r>
          </w:p>
          <w:p w14:paraId="1D71AFA3">
            <w:pPr>
              <w:keepNext w:val="0"/>
              <w:keepLines w:val="0"/>
              <w:pageBreakBefore w:val="0"/>
              <w:widowControl/>
              <w:suppressLineNumbers w:val="0"/>
              <w:kinsoku/>
              <w:wordWrap/>
              <w:overflowPunct/>
              <w:topLinePunct w:val="0"/>
              <w:autoSpaceDE/>
              <w:autoSpaceDN/>
              <w:bidi w:val="0"/>
              <w:adjustRightInd/>
              <w:snapToGrid w:val="0"/>
              <w:spacing w:line="240" w:lineRule="exact"/>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对象</w:t>
            </w:r>
          </w:p>
        </w:tc>
        <w:tc>
          <w:tcPr>
            <w:tcW w:w="2333" w:type="dxa"/>
            <w:noWrap w:val="0"/>
            <w:vAlign w:val="center"/>
          </w:tcPr>
          <w:p w14:paraId="25D20023">
            <w:pPr>
              <w:keepNext w:val="0"/>
              <w:keepLines w:val="0"/>
              <w:pageBreakBefore w:val="0"/>
              <w:widowControl/>
              <w:suppressLineNumbers w:val="0"/>
              <w:kinsoku/>
              <w:wordWrap/>
              <w:overflowPunct/>
              <w:topLinePunct w:val="0"/>
              <w:autoSpaceDE/>
              <w:autoSpaceDN/>
              <w:bidi w:val="0"/>
              <w:adjustRightInd/>
              <w:snapToGrid w:val="0"/>
              <w:spacing w:line="240" w:lineRule="exact"/>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对应课程</w:t>
            </w:r>
          </w:p>
        </w:tc>
      </w:tr>
      <w:tr w14:paraId="1F3A72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44" w:hRule="atLeast"/>
          <w:jc w:val="center"/>
        </w:trPr>
        <w:tc>
          <w:tcPr>
            <w:tcW w:w="0" w:type="auto"/>
            <w:noWrap w:val="0"/>
            <w:vAlign w:val="center"/>
          </w:tcPr>
          <w:p w14:paraId="19B8B81D">
            <w:pPr>
              <w:keepNext w:val="0"/>
              <w:keepLines w:val="0"/>
              <w:pageBreakBefore w:val="0"/>
              <w:widowControl/>
              <w:suppressLineNumbers w:val="0"/>
              <w:kinsoku/>
              <w:wordWrap/>
              <w:overflowPunct/>
              <w:topLinePunct w:val="0"/>
              <w:autoSpaceDE/>
              <w:autoSpaceDN/>
              <w:bidi w:val="0"/>
              <w:adjustRightInd/>
              <w:snapToGrid w:val="0"/>
              <w:spacing w:line="240" w:lineRule="exact"/>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1</w:t>
            </w:r>
          </w:p>
        </w:tc>
        <w:tc>
          <w:tcPr>
            <w:tcW w:w="0" w:type="auto"/>
            <w:noWrap w:val="0"/>
            <w:vAlign w:val="center"/>
          </w:tcPr>
          <w:p w14:paraId="0378C721">
            <w:pPr>
              <w:keepNext w:val="0"/>
              <w:keepLines w:val="0"/>
              <w:pageBreakBefore w:val="0"/>
              <w:widowControl/>
              <w:suppressLineNumbers w:val="0"/>
              <w:kinsoku/>
              <w:wordWrap/>
              <w:overflowPunct/>
              <w:topLinePunct w:val="0"/>
              <w:autoSpaceDE/>
              <w:autoSpaceDN/>
              <w:bidi w:val="0"/>
              <w:adjustRightInd/>
              <w:snapToGrid w:val="0"/>
              <w:spacing w:line="240" w:lineRule="exact"/>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神奇的造物——用另一种角度看</w:t>
            </w:r>
          </w:p>
        </w:tc>
        <w:tc>
          <w:tcPr>
            <w:tcW w:w="2219" w:type="dxa"/>
            <w:noWrap w:val="0"/>
            <w:vAlign w:val="center"/>
          </w:tcPr>
          <w:p w14:paraId="0157842A">
            <w:pPr>
              <w:keepNext w:val="0"/>
              <w:keepLines w:val="0"/>
              <w:pageBreakBefore w:val="0"/>
              <w:widowControl/>
              <w:suppressLineNumbers w:val="0"/>
              <w:kinsoku/>
              <w:wordWrap/>
              <w:overflowPunct/>
              <w:topLinePunct w:val="0"/>
              <w:autoSpaceDE/>
              <w:autoSpaceDN/>
              <w:bidi w:val="0"/>
              <w:adjustRightInd/>
              <w:snapToGrid w:val="0"/>
              <w:spacing w:line="240" w:lineRule="exact"/>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1.探索植物起源，寻找树中之最，微观看植物，掌握植物人工繁殖方法</w:t>
            </w:r>
          </w:p>
          <w:p w14:paraId="32E7C77C">
            <w:pPr>
              <w:keepNext w:val="0"/>
              <w:keepLines w:val="0"/>
              <w:pageBreakBefore w:val="0"/>
              <w:widowControl/>
              <w:suppressLineNumbers w:val="0"/>
              <w:kinsoku/>
              <w:wordWrap/>
              <w:overflowPunct/>
              <w:topLinePunct w:val="0"/>
              <w:autoSpaceDE/>
              <w:autoSpaceDN/>
              <w:bidi w:val="0"/>
              <w:adjustRightInd/>
              <w:snapToGrid w:val="0"/>
              <w:spacing w:line="240" w:lineRule="exact"/>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2.制作叶脉书签</w:t>
            </w:r>
          </w:p>
        </w:tc>
        <w:tc>
          <w:tcPr>
            <w:tcW w:w="636" w:type="dxa"/>
            <w:noWrap w:val="0"/>
            <w:vAlign w:val="center"/>
          </w:tcPr>
          <w:p w14:paraId="15A6CAFB">
            <w:pPr>
              <w:keepNext w:val="0"/>
              <w:keepLines w:val="0"/>
              <w:pageBreakBefore w:val="0"/>
              <w:widowControl/>
              <w:suppressLineNumbers w:val="0"/>
              <w:kinsoku/>
              <w:wordWrap/>
              <w:overflowPunct/>
              <w:topLinePunct w:val="0"/>
              <w:autoSpaceDE/>
              <w:autoSpaceDN/>
              <w:bidi w:val="0"/>
              <w:adjustRightInd/>
              <w:snapToGrid w:val="0"/>
              <w:spacing w:line="240" w:lineRule="exact"/>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1000</w:t>
            </w:r>
          </w:p>
        </w:tc>
        <w:tc>
          <w:tcPr>
            <w:tcW w:w="778" w:type="dxa"/>
            <w:noWrap w:val="0"/>
            <w:vAlign w:val="center"/>
          </w:tcPr>
          <w:p w14:paraId="7C6ABB9F">
            <w:pPr>
              <w:keepNext w:val="0"/>
              <w:keepLines w:val="0"/>
              <w:pageBreakBefore w:val="0"/>
              <w:widowControl/>
              <w:suppressLineNumbers w:val="0"/>
              <w:kinsoku/>
              <w:wordWrap/>
              <w:overflowPunct/>
              <w:topLinePunct w:val="0"/>
              <w:autoSpaceDE/>
              <w:autoSpaceDN/>
              <w:bidi w:val="0"/>
              <w:adjustRightInd/>
              <w:snapToGrid w:val="0"/>
              <w:spacing w:line="240" w:lineRule="exact"/>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初中</w:t>
            </w:r>
          </w:p>
          <w:p w14:paraId="4B2749A2">
            <w:pPr>
              <w:keepNext w:val="0"/>
              <w:keepLines w:val="0"/>
              <w:pageBreakBefore w:val="0"/>
              <w:widowControl/>
              <w:suppressLineNumbers w:val="0"/>
              <w:kinsoku/>
              <w:wordWrap/>
              <w:overflowPunct/>
              <w:topLinePunct w:val="0"/>
              <w:autoSpaceDE/>
              <w:autoSpaceDN/>
              <w:bidi w:val="0"/>
              <w:adjustRightInd/>
              <w:snapToGrid w:val="0"/>
              <w:spacing w:line="240" w:lineRule="exact"/>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高中</w:t>
            </w:r>
          </w:p>
        </w:tc>
        <w:tc>
          <w:tcPr>
            <w:tcW w:w="2333" w:type="dxa"/>
            <w:noWrap w:val="0"/>
            <w:vAlign w:val="center"/>
          </w:tcPr>
          <w:p w14:paraId="5BFBA9DB">
            <w:pPr>
              <w:keepNext w:val="0"/>
              <w:keepLines w:val="0"/>
              <w:pageBreakBefore w:val="0"/>
              <w:widowControl/>
              <w:suppressLineNumbers w:val="0"/>
              <w:kinsoku/>
              <w:wordWrap/>
              <w:overflowPunct/>
              <w:topLinePunct w:val="0"/>
              <w:autoSpaceDE/>
              <w:autoSpaceDN/>
              <w:bidi w:val="0"/>
              <w:adjustRightInd/>
              <w:snapToGrid w:val="0"/>
              <w:spacing w:line="240" w:lineRule="exact"/>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地理课-植被分布；生物课-植物与环境的相互关系；劳动课-农业生产劳动</w:t>
            </w:r>
          </w:p>
        </w:tc>
      </w:tr>
      <w:tr w14:paraId="74716C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3" w:hRule="atLeast"/>
          <w:jc w:val="center"/>
        </w:trPr>
        <w:tc>
          <w:tcPr>
            <w:tcW w:w="0" w:type="auto"/>
            <w:noWrap w:val="0"/>
            <w:vAlign w:val="center"/>
          </w:tcPr>
          <w:p w14:paraId="7CFFEFC6">
            <w:pPr>
              <w:keepNext w:val="0"/>
              <w:keepLines w:val="0"/>
              <w:pageBreakBefore w:val="0"/>
              <w:widowControl/>
              <w:suppressLineNumbers w:val="0"/>
              <w:kinsoku/>
              <w:wordWrap/>
              <w:overflowPunct/>
              <w:topLinePunct w:val="0"/>
              <w:autoSpaceDE/>
              <w:autoSpaceDN/>
              <w:bidi w:val="0"/>
              <w:adjustRightInd/>
              <w:snapToGrid w:val="0"/>
              <w:spacing w:line="240" w:lineRule="exact"/>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2</w:t>
            </w:r>
          </w:p>
        </w:tc>
        <w:tc>
          <w:tcPr>
            <w:tcW w:w="0" w:type="auto"/>
            <w:noWrap w:val="0"/>
            <w:vAlign w:val="center"/>
          </w:tcPr>
          <w:p w14:paraId="53443CBE">
            <w:pPr>
              <w:keepNext w:val="0"/>
              <w:keepLines w:val="0"/>
              <w:pageBreakBefore w:val="0"/>
              <w:widowControl/>
              <w:suppressLineNumbers w:val="0"/>
              <w:kinsoku/>
              <w:wordWrap/>
              <w:overflowPunct/>
              <w:topLinePunct w:val="0"/>
              <w:autoSpaceDE/>
              <w:autoSpaceDN/>
              <w:bidi w:val="0"/>
              <w:adjustRightInd/>
              <w:snapToGrid w:val="0"/>
              <w:spacing w:line="240" w:lineRule="exact"/>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虫虫总动员——见微知著，探秘生物多样性主题课程方案</w:t>
            </w:r>
          </w:p>
        </w:tc>
        <w:tc>
          <w:tcPr>
            <w:tcW w:w="2219" w:type="dxa"/>
            <w:noWrap w:val="0"/>
            <w:vAlign w:val="center"/>
          </w:tcPr>
          <w:p w14:paraId="121448CA">
            <w:pPr>
              <w:keepNext w:val="0"/>
              <w:keepLines w:val="0"/>
              <w:pageBreakBefore w:val="0"/>
              <w:widowControl/>
              <w:suppressLineNumbers w:val="0"/>
              <w:kinsoku/>
              <w:wordWrap/>
              <w:overflowPunct/>
              <w:topLinePunct w:val="0"/>
              <w:autoSpaceDE/>
              <w:autoSpaceDN/>
              <w:bidi w:val="0"/>
              <w:adjustRightInd/>
              <w:snapToGrid w:val="0"/>
              <w:spacing w:line="240" w:lineRule="exact"/>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1.了解世界上三大“社会性昆虫”：蚂蚁、白蚁和蜜蜂</w:t>
            </w:r>
          </w:p>
          <w:p w14:paraId="23F6026F">
            <w:pPr>
              <w:keepNext w:val="0"/>
              <w:keepLines w:val="0"/>
              <w:pageBreakBefore w:val="0"/>
              <w:widowControl/>
              <w:suppressLineNumbers w:val="0"/>
              <w:kinsoku/>
              <w:wordWrap/>
              <w:overflowPunct/>
              <w:topLinePunct w:val="0"/>
              <w:autoSpaceDE/>
              <w:autoSpaceDN/>
              <w:bidi w:val="0"/>
              <w:adjustRightInd/>
              <w:snapToGrid w:val="0"/>
              <w:spacing w:line="240" w:lineRule="exact"/>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2.寻找白蚁、蚂蚁的巢穴，并观察它们</w:t>
            </w:r>
          </w:p>
        </w:tc>
        <w:tc>
          <w:tcPr>
            <w:tcW w:w="636" w:type="dxa"/>
            <w:noWrap w:val="0"/>
            <w:vAlign w:val="center"/>
          </w:tcPr>
          <w:p w14:paraId="1F383A55">
            <w:pPr>
              <w:keepNext w:val="0"/>
              <w:keepLines w:val="0"/>
              <w:pageBreakBefore w:val="0"/>
              <w:widowControl/>
              <w:suppressLineNumbers w:val="0"/>
              <w:kinsoku/>
              <w:wordWrap/>
              <w:overflowPunct/>
              <w:topLinePunct w:val="0"/>
              <w:autoSpaceDE/>
              <w:autoSpaceDN/>
              <w:bidi w:val="0"/>
              <w:adjustRightInd/>
              <w:snapToGrid w:val="0"/>
              <w:spacing w:line="240" w:lineRule="exact"/>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1000</w:t>
            </w:r>
          </w:p>
        </w:tc>
        <w:tc>
          <w:tcPr>
            <w:tcW w:w="778" w:type="dxa"/>
            <w:noWrap w:val="0"/>
            <w:vAlign w:val="center"/>
          </w:tcPr>
          <w:p w14:paraId="7F0CCC7C">
            <w:pPr>
              <w:keepNext w:val="0"/>
              <w:keepLines w:val="0"/>
              <w:pageBreakBefore w:val="0"/>
              <w:widowControl/>
              <w:suppressLineNumbers w:val="0"/>
              <w:kinsoku/>
              <w:wordWrap/>
              <w:overflowPunct/>
              <w:topLinePunct w:val="0"/>
              <w:autoSpaceDE/>
              <w:autoSpaceDN/>
              <w:bidi w:val="0"/>
              <w:adjustRightInd/>
              <w:snapToGrid w:val="0"/>
              <w:spacing w:line="240" w:lineRule="exact"/>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小学</w:t>
            </w:r>
          </w:p>
          <w:p w14:paraId="24C93D9F">
            <w:pPr>
              <w:keepNext w:val="0"/>
              <w:keepLines w:val="0"/>
              <w:pageBreakBefore w:val="0"/>
              <w:widowControl/>
              <w:suppressLineNumbers w:val="0"/>
              <w:kinsoku/>
              <w:wordWrap/>
              <w:overflowPunct/>
              <w:topLinePunct w:val="0"/>
              <w:autoSpaceDE/>
              <w:autoSpaceDN/>
              <w:bidi w:val="0"/>
              <w:adjustRightInd/>
              <w:snapToGrid w:val="0"/>
              <w:spacing w:line="240" w:lineRule="exact"/>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初中</w:t>
            </w:r>
          </w:p>
          <w:p w14:paraId="6D0EA293">
            <w:pPr>
              <w:keepNext w:val="0"/>
              <w:keepLines w:val="0"/>
              <w:pageBreakBefore w:val="0"/>
              <w:widowControl/>
              <w:suppressLineNumbers w:val="0"/>
              <w:kinsoku/>
              <w:wordWrap/>
              <w:overflowPunct/>
              <w:topLinePunct w:val="0"/>
              <w:autoSpaceDE/>
              <w:autoSpaceDN/>
              <w:bidi w:val="0"/>
              <w:adjustRightInd/>
              <w:snapToGrid w:val="0"/>
              <w:spacing w:line="240" w:lineRule="exact"/>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高中</w:t>
            </w:r>
          </w:p>
        </w:tc>
        <w:tc>
          <w:tcPr>
            <w:tcW w:w="2333" w:type="dxa"/>
            <w:noWrap w:val="0"/>
            <w:vAlign w:val="center"/>
          </w:tcPr>
          <w:p w14:paraId="66679318">
            <w:pPr>
              <w:keepNext w:val="0"/>
              <w:keepLines w:val="0"/>
              <w:pageBreakBefore w:val="0"/>
              <w:widowControl/>
              <w:suppressLineNumbers w:val="0"/>
              <w:kinsoku/>
              <w:wordWrap/>
              <w:overflowPunct/>
              <w:topLinePunct w:val="0"/>
              <w:autoSpaceDE/>
              <w:autoSpaceDN/>
              <w:bidi w:val="0"/>
              <w:adjustRightInd/>
              <w:snapToGrid w:val="0"/>
              <w:spacing w:line="240" w:lineRule="exact"/>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生物课-昆虫分类与生态学；地理课-昆虫分布与气候、土壤条件的关系</w:t>
            </w:r>
          </w:p>
        </w:tc>
      </w:tr>
      <w:tr w14:paraId="6C16A4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3" w:hRule="atLeast"/>
          <w:jc w:val="center"/>
        </w:trPr>
        <w:tc>
          <w:tcPr>
            <w:tcW w:w="0" w:type="auto"/>
            <w:noWrap w:val="0"/>
            <w:vAlign w:val="center"/>
          </w:tcPr>
          <w:p w14:paraId="4BA4E669">
            <w:pPr>
              <w:keepNext w:val="0"/>
              <w:keepLines w:val="0"/>
              <w:pageBreakBefore w:val="0"/>
              <w:widowControl/>
              <w:suppressLineNumbers w:val="0"/>
              <w:kinsoku/>
              <w:wordWrap/>
              <w:overflowPunct/>
              <w:topLinePunct w:val="0"/>
              <w:autoSpaceDE/>
              <w:autoSpaceDN/>
              <w:bidi w:val="0"/>
              <w:adjustRightInd/>
              <w:snapToGrid w:val="0"/>
              <w:spacing w:line="240" w:lineRule="exact"/>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3</w:t>
            </w:r>
          </w:p>
        </w:tc>
        <w:tc>
          <w:tcPr>
            <w:tcW w:w="0" w:type="auto"/>
            <w:noWrap w:val="0"/>
            <w:vAlign w:val="center"/>
          </w:tcPr>
          <w:p w14:paraId="337BD0F6">
            <w:pPr>
              <w:keepNext w:val="0"/>
              <w:keepLines w:val="0"/>
              <w:pageBreakBefore w:val="0"/>
              <w:widowControl/>
              <w:suppressLineNumbers w:val="0"/>
              <w:kinsoku/>
              <w:wordWrap/>
              <w:overflowPunct/>
              <w:topLinePunct w:val="0"/>
              <w:autoSpaceDE/>
              <w:autoSpaceDN/>
              <w:bidi w:val="0"/>
              <w:adjustRightInd/>
              <w:snapToGrid w:val="0"/>
              <w:spacing w:line="240" w:lineRule="exact"/>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无处不在的植物——探索森林奥秘，解锁生命密码</w:t>
            </w:r>
          </w:p>
        </w:tc>
        <w:tc>
          <w:tcPr>
            <w:tcW w:w="2219" w:type="dxa"/>
            <w:noWrap w:val="0"/>
            <w:vAlign w:val="center"/>
          </w:tcPr>
          <w:p w14:paraId="71EC67E5">
            <w:pPr>
              <w:keepNext w:val="0"/>
              <w:keepLines w:val="0"/>
              <w:pageBreakBefore w:val="0"/>
              <w:widowControl/>
              <w:suppressLineNumbers w:val="0"/>
              <w:kinsoku/>
              <w:wordWrap/>
              <w:overflowPunct/>
              <w:topLinePunct w:val="0"/>
              <w:autoSpaceDE/>
              <w:autoSpaceDN/>
              <w:bidi w:val="0"/>
              <w:adjustRightInd/>
              <w:snapToGrid w:val="0"/>
              <w:spacing w:line="240" w:lineRule="exact"/>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1.探秘森林，野外生存训练</w:t>
            </w:r>
          </w:p>
          <w:p w14:paraId="79E18208">
            <w:pPr>
              <w:keepNext w:val="0"/>
              <w:keepLines w:val="0"/>
              <w:pageBreakBefore w:val="0"/>
              <w:widowControl/>
              <w:suppressLineNumbers w:val="0"/>
              <w:kinsoku/>
              <w:wordWrap/>
              <w:overflowPunct/>
              <w:topLinePunct w:val="0"/>
              <w:autoSpaceDE/>
              <w:autoSpaceDN/>
              <w:bidi w:val="0"/>
              <w:adjustRightInd/>
              <w:snapToGrid w:val="0"/>
              <w:spacing w:line="240" w:lineRule="exact"/>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2.自制美食，学习森林规划管理</w:t>
            </w:r>
          </w:p>
        </w:tc>
        <w:tc>
          <w:tcPr>
            <w:tcW w:w="636" w:type="dxa"/>
            <w:noWrap w:val="0"/>
            <w:vAlign w:val="center"/>
          </w:tcPr>
          <w:p w14:paraId="16EA449C">
            <w:pPr>
              <w:keepNext w:val="0"/>
              <w:keepLines w:val="0"/>
              <w:pageBreakBefore w:val="0"/>
              <w:widowControl/>
              <w:suppressLineNumbers w:val="0"/>
              <w:kinsoku/>
              <w:wordWrap/>
              <w:overflowPunct/>
              <w:topLinePunct w:val="0"/>
              <w:autoSpaceDE/>
              <w:autoSpaceDN/>
              <w:bidi w:val="0"/>
              <w:adjustRightInd/>
              <w:snapToGrid w:val="0"/>
              <w:spacing w:line="240" w:lineRule="exact"/>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1000</w:t>
            </w:r>
          </w:p>
        </w:tc>
        <w:tc>
          <w:tcPr>
            <w:tcW w:w="778" w:type="dxa"/>
            <w:noWrap w:val="0"/>
            <w:vAlign w:val="center"/>
          </w:tcPr>
          <w:p w14:paraId="3CFB837A">
            <w:pPr>
              <w:keepNext w:val="0"/>
              <w:keepLines w:val="0"/>
              <w:pageBreakBefore w:val="0"/>
              <w:widowControl/>
              <w:suppressLineNumbers w:val="0"/>
              <w:kinsoku/>
              <w:wordWrap/>
              <w:overflowPunct/>
              <w:topLinePunct w:val="0"/>
              <w:autoSpaceDE/>
              <w:autoSpaceDN/>
              <w:bidi w:val="0"/>
              <w:adjustRightInd/>
              <w:snapToGrid w:val="0"/>
              <w:spacing w:line="240" w:lineRule="exact"/>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小学</w:t>
            </w:r>
          </w:p>
          <w:p w14:paraId="40D72900">
            <w:pPr>
              <w:keepNext w:val="0"/>
              <w:keepLines w:val="0"/>
              <w:pageBreakBefore w:val="0"/>
              <w:widowControl/>
              <w:suppressLineNumbers w:val="0"/>
              <w:kinsoku/>
              <w:wordWrap/>
              <w:overflowPunct/>
              <w:topLinePunct w:val="0"/>
              <w:autoSpaceDE/>
              <w:autoSpaceDN/>
              <w:bidi w:val="0"/>
              <w:adjustRightInd/>
              <w:snapToGrid w:val="0"/>
              <w:spacing w:line="240" w:lineRule="exact"/>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初中</w:t>
            </w:r>
          </w:p>
        </w:tc>
        <w:tc>
          <w:tcPr>
            <w:tcW w:w="2333" w:type="dxa"/>
            <w:noWrap w:val="0"/>
            <w:vAlign w:val="center"/>
          </w:tcPr>
          <w:p w14:paraId="559DE35F">
            <w:pPr>
              <w:keepNext w:val="0"/>
              <w:keepLines w:val="0"/>
              <w:pageBreakBefore w:val="0"/>
              <w:widowControl/>
              <w:suppressLineNumbers w:val="0"/>
              <w:kinsoku/>
              <w:wordWrap/>
              <w:overflowPunct/>
              <w:topLinePunct w:val="0"/>
              <w:autoSpaceDE/>
              <w:autoSpaceDN/>
              <w:bidi w:val="0"/>
              <w:adjustRightInd/>
              <w:snapToGrid w:val="0"/>
              <w:spacing w:line="240" w:lineRule="exact"/>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生物课-生态学、动物行为学；劳动课-美食制作</w:t>
            </w:r>
          </w:p>
        </w:tc>
      </w:tr>
      <w:tr w14:paraId="1A1B1D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9" w:hRule="atLeast"/>
          <w:jc w:val="center"/>
        </w:trPr>
        <w:tc>
          <w:tcPr>
            <w:tcW w:w="0" w:type="auto"/>
            <w:noWrap w:val="0"/>
            <w:vAlign w:val="center"/>
          </w:tcPr>
          <w:p w14:paraId="62223D20">
            <w:pPr>
              <w:keepNext w:val="0"/>
              <w:keepLines w:val="0"/>
              <w:pageBreakBefore w:val="0"/>
              <w:widowControl/>
              <w:suppressLineNumbers w:val="0"/>
              <w:kinsoku/>
              <w:wordWrap/>
              <w:overflowPunct/>
              <w:topLinePunct w:val="0"/>
              <w:autoSpaceDE/>
              <w:autoSpaceDN/>
              <w:bidi w:val="0"/>
              <w:adjustRightInd/>
              <w:snapToGrid w:val="0"/>
              <w:spacing w:line="240" w:lineRule="exact"/>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4</w:t>
            </w:r>
          </w:p>
        </w:tc>
        <w:tc>
          <w:tcPr>
            <w:tcW w:w="0" w:type="auto"/>
            <w:noWrap w:val="0"/>
            <w:vAlign w:val="center"/>
          </w:tcPr>
          <w:p w14:paraId="0036CC8F">
            <w:pPr>
              <w:keepNext w:val="0"/>
              <w:keepLines w:val="0"/>
              <w:pageBreakBefore w:val="0"/>
              <w:widowControl/>
              <w:suppressLineNumbers w:val="0"/>
              <w:kinsoku/>
              <w:wordWrap/>
              <w:overflowPunct/>
              <w:topLinePunct w:val="0"/>
              <w:autoSpaceDE/>
              <w:autoSpaceDN/>
              <w:bidi w:val="0"/>
              <w:adjustRightInd/>
              <w:snapToGrid w:val="0"/>
              <w:spacing w:line="240" w:lineRule="exact"/>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植物中有趣的数学——测量树木</w:t>
            </w:r>
          </w:p>
        </w:tc>
        <w:tc>
          <w:tcPr>
            <w:tcW w:w="2219" w:type="dxa"/>
            <w:noWrap w:val="0"/>
            <w:vAlign w:val="center"/>
          </w:tcPr>
          <w:p w14:paraId="30215AF7">
            <w:pPr>
              <w:keepNext w:val="0"/>
              <w:keepLines w:val="0"/>
              <w:pageBreakBefore w:val="0"/>
              <w:widowControl/>
              <w:suppressLineNumbers w:val="0"/>
              <w:kinsoku/>
              <w:wordWrap/>
              <w:overflowPunct/>
              <w:topLinePunct w:val="0"/>
              <w:autoSpaceDE/>
              <w:autoSpaceDN/>
              <w:bidi w:val="0"/>
              <w:adjustRightInd/>
              <w:snapToGrid w:val="0"/>
              <w:spacing w:line="240" w:lineRule="exact"/>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1.测量树高和胸径</w:t>
            </w:r>
          </w:p>
          <w:p w14:paraId="186EE55D">
            <w:pPr>
              <w:keepNext w:val="0"/>
              <w:keepLines w:val="0"/>
              <w:pageBreakBefore w:val="0"/>
              <w:widowControl/>
              <w:suppressLineNumbers w:val="0"/>
              <w:kinsoku/>
              <w:wordWrap/>
              <w:overflowPunct/>
              <w:topLinePunct w:val="0"/>
              <w:autoSpaceDE/>
              <w:autoSpaceDN/>
              <w:bidi w:val="0"/>
              <w:adjustRightInd/>
              <w:snapToGrid w:val="0"/>
              <w:spacing w:line="240" w:lineRule="exact"/>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2.年轮密码</w:t>
            </w:r>
          </w:p>
        </w:tc>
        <w:tc>
          <w:tcPr>
            <w:tcW w:w="636" w:type="dxa"/>
            <w:noWrap w:val="0"/>
            <w:vAlign w:val="center"/>
          </w:tcPr>
          <w:p w14:paraId="02A2A4CB">
            <w:pPr>
              <w:keepNext w:val="0"/>
              <w:keepLines w:val="0"/>
              <w:pageBreakBefore w:val="0"/>
              <w:widowControl/>
              <w:suppressLineNumbers w:val="0"/>
              <w:kinsoku/>
              <w:wordWrap/>
              <w:overflowPunct/>
              <w:topLinePunct w:val="0"/>
              <w:autoSpaceDE/>
              <w:autoSpaceDN/>
              <w:bidi w:val="0"/>
              <w:adjustRightInd/>
              <w:snapToGrid w:val="0"/>
              <w:spacing w:line="240" w:lineRule="exact"/>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1000</w:t>
            </w:r>
          </w:p>
        </w:tc>
        <w:tc>
          <w:tcPr>
            <w:tcW w:w="778" w:type="dxa"/>
            <w:noWrap w:val="0"/>
            <w:vAlign w:val="center"/>
          </w:tcPr>
          <w:p w14:paraId="530EA052">
            <w:pPr>
              <w:keepNext w:val="0"/>
              <w:keepLines w:val="0"/>
              <w:pageBreakBefore w:val="0"/>
              <w:widowControl/>
              <w:suppressLineNumbers w:val="0"/>
              <w:kinsoku/>
              <w:wordWrap/>
              <w:overflowPunct/>
              <w:topLinePunct w:val="0"/>
              <w:autoSpaceDE/>
              <w:autoSpaceDN/>
              <w:bidi w:val="0"/>
              <w:adjustRightInd/>
              <w:snapToGrid w:val="0"/>
              <w:spacing w:line="240" w:lineRule="exact"/>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小学</w:t>
            </w:r>
          </w:p>
          <w:p w14:paraId="0E1C109E">
            <w:pPr>
              <w:keepNext w:val="0"/>
              <w:keepLines w:val="0"/>
              <w:pageBreakBefore w:val="0"/>
              <w:widowControl/>
              <w:suppressLineNumbers w:val="0"/>
              <w:kinsoku/>
              <w:wordWrap/>
              <w:overflowPunct/>
              <w:topLinePunct w:val="0"/>
              <w:autoSpaceDE/>
              <w:autoSpaceDN/>
              <w:bidi w:val="0"/>
              <w:adjustRightInd/>
              <w:snapToGrid w:val="0"/>
              <w:spacing w:line="240" w:lineRule="exact"/>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初中</w:t>
            </w:r>
          </w:p>
          <w:p w14:paraId="2F311E1F">
            <w:pPr>
              <w:keepNext w:val="0"/>
              <w:keepLines w:val="0"/>
              <w:pageBreakBefore w:val="0"/>
              <w:widowControl/>
              <w:suppressLineNumbers w:val="0"/>
              <w:kinsoku/>
              <w:wordWrap/>
              <w:overflowPunct/>
              <w:topLinePunct w:val="0"/>
              <w:autoSpaceDE/>
              <w:autoSpaceDN/>
              <w:bidi w:val="0"/>
              <w:adjustRightInd/>
              <w:snapToGrid w:val="0"/>
              <w:spacing w:line="240" w:lineRule="exact"/>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高中</w:t>
            </w:r>
          </w:p>
        </w:tc>
        <w:tc>
          <w:tcPr>
            <w:tcW w:w="2333" w:type="dxa"/>
            <w:noWrap w:val="0"/>
            <w:vAlign w:val="center"/>
          </w:tcPr>
          <w:p w14:paraId="09383CE6">
            <w:pPr>
              <w:keepNext w:val="0"/>
              <w:keepLines w:val="0"/>
              <w:pageBreakBefore w:val="0"/>
              <w:widowControl/>
              <w:suppressLineNumbers w:val="0"/>
              <w:kinsoku/>
              <w:wordWrap/>
              <w:overflowPunct/>
              <w:topLinePunct w:val="0"/>
              <w:autoSpaceDE/>
              <w:autoSpaceDN/>
              <w:bidi w:val="0"/>
              <w:adjustRightInd/>
              <w:snapToGrid w:val="0"/>
              <w:spacing w:line="240" w:lineRule="exact"/>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科学课-植物的生长变化；数学课-三角形、圆周率；劳动课-农业生产劳动</w:t>
            </w:r>
          </w:p>
        </w:tc>
      </w:tr>
      <w:tr w14:paraId="2A2E1E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44" w:hRule="atLeast"/>
          <w:jc w:val="center"/>
        </w:trPr>
        <w:tc>
          <w:tcPr>
            <w:tcW w:w="0" w:type="auto"/>
            <w:noWrap w:val="0"/>
            <w:vAlign w:val="center"/>
          </w:tcPr>
          <w:p w14:paraId="5AE19B72">
            <w:pPr>
              <w:keepNext w:val="0"/>
              <w:keepLines w:val="0"/>
              <w:pageBreakBefore w:val="0"/>
              <w:widowControl/>
              <w:suppressLineNumbers w:val="0"/>
              <w:kinsoku/>
              <w:wordWrap/>
              <w:overflowPunct/>
              <w:topLinePunct w:val="0"/>
              <w:autoSpaceDE/>
              <w:autoSpaceDN/>
              <w:bidi w:val="0"/>
              <w:adjustRightInd/>
              <w:snapToGrid w:val="0"/>
              <w:spacing w:line="240" w:lineRule="exact"/>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5</w:t>
            </w:r>
          </w:p>
        </w:tc>
        <w:tc>
          <w:tcPr>
            <w:tcW w:w="0" w:type="auto"/>
            <w:noWrap w:val="0"/>
            <w:vAlign w:val="center"/>
          </w:tcPr>
          <w:p w14:paraId="55DB6D9A">
            <w:pPr>
              <w:keepNext w:val="0"/>
              <w:keepLines w:val="0"/>
              <w:pageBreakBefore w:val="0"/>
              <w:widowControl/>
              <w:suppressLineNumbers w:val="0"/>
              <w:kinsoku/>
              <w:wordWrap/>
              <w:overflowPunct/>
              <w:topLinePunct w:val="0"/>
              <w:autoSpaceDE/>
              <w:autoSpaceDN/>
              <w:bidi w:val="0"/>
              <w:adjustRightInd/>
              <w:snapToGrid w:val="0"/>
              <w:spacing w:line="240" w:lineRule="exact"/>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创新中国——告别刀耕火种，走进智慧农业</w:t>
            </w:r>
          </w:p>
        </w:tc>
        <w:tc>
          <w:tcPr>
            <w:tcW w:w="2219" w:type="dxa"/>
            <w:noWrap w:val="0"/>
            <w:vAlign w:val="center"/>
          </w:tcPr>
          <w:p w14:paraId="21E85CEE">
            <w:pPr>
              <w:keepNext w:val="0"/>
              <w:keepLines w:val="0"/>
              <w:pageBreakBefore w:val="0"/>
              <w:widowControl/>
              <w:suppressLineNumbers w:val="0"/>
              <w:kinsoku/>
              <w:wordWrap/>
              <w:overflowPunct/>
              <w:topLinePunct w:val="0"/>
              <w:autoSpaceDE/>
              <w:autoSpaceDN/>
              <w:bidi w:val="0"/>
              <w:adjustRightInd/>
              <w:snapToGrid w:val="0"/>
              <w:spacing w:line="240" w:lineRule="exact"/>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1.体验传统农事，感受农耕文化</w:t>
            </w:r>
          </w:p>
          <w:p w14:paraId="5C41C025">
            <w:pPr>
              <w:keepNext w:val="0"/>
              <w:keepLines w:val="0"/>
              <w:pageBreakBefore w:val="0"/>
              <w:widowControl/>
              <w:suppressLineNumbers w:val="0"/>
              <w:kinsoku/>
              <w:wordWrap/>
              <w:overflowPunct/>
              <w:topLinePunct w:val="0"/>
              <w:autoSpaceDE/>
              <w:autoSpaceDN/>
              <w:bidi w:val="0"/>
              <w:adjustRightInd/>
              <w:snapToGrid w:val="0"/>
              <w:spacing w:line="240" w:lineRule="exact"/>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2.了解智慧农业，明白科技兴农</w:t>
            </w:r>
          </w:p>
        </w:tc>
        <w:tc>
          <w:tcPr>
            <w:tcW w:w="636" w:type="dxa"/>
            <w:noWrap w:val="0"/>
            <w:vAlign w:val="center"/>
          </w:tcPr>
          <w:p w14:paraId="3BE158B7">
            <w:pPr>
              <w:keepNext w:val="0"/>
              <w:keepLines w:val="0"/>
              <w:pageBreakBefore w:val="0"/>
              <w:widowControl/>
              <w:suppressLineNumbers w:val="0"/>
              <w:kinsoku/>
              <w:wordWrap/>
              <w:overflowPunct/>
              <w:topLinePunct w:val="0"/>
              <w:autoSpaceDE/>
              <w:autoSpaceDN/>
              <w:bidi w:val="0"/>
              <w:adjustRightInd/>
              <w:snapToGrid w:val="0"/>
              <w:spacing w:line="240" w:lineRule="exact"/>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1000</w:t>
            </w:r>
          </w:p>
        </w:tc>
        <w:tc>
          <w:tcPr>
            <w:tcW w:w="778" w:type="dxa"/>
            <w:noWrap w:val="0"/>
            <w:vAlign w:val="center"/>
          </w:tcPr>
          <w:p w14:paraId="36A9DD62">
            <w:pPr>
              <w:keepNext w:val="0"/>
              <w:keepLines w:val="0"/>
              <w:pageBreakBefore w:val="0"/>
              <w:widowControl/>
              <w:suppressLineNumbers w:val="0"/>
              <w:kinsoku/>
              <w:wordWrap/>
              <w:overflowPunct/>
              <w:topLinePunct w:val="0"/>
              <w:autoSpaceDE/>
              <w:autoSpaceDN/>
              <w:bidi w:val="0"/>
              <w:adjustRightInd/>
              <w:snapToGrid w:val="0"/>
              <w:spacing w:line="240" w:lineRule="exact"/>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小学</w:t>
            </w:r>
          </w:p>
          <w:p w14:paraId="4ABF9868">
            <w:pPr>
              <w:keepNext w:val="0"/>
              <w:keepLines w:val="0"/>
              <w:pageBreakBefore w:val="0"/>
              <w:widowControl/>
              <w:suppressLineNumbers w:val="0"/>
              <w:kinsoku/>
              <w:wordWrap/>
              <w:overflowPunct/>
              <w:topLinePunct w:val="0"/>
              <w:autoSpaceDE/>
              <w:autoSpaceDN/>
              <w:bidi w:val="0"/>
              <w:adjustRightInd/>
              <w:snapToGrid w:val="0"/>
              <w:spacing w:line="240" w:lineRule="exact"/>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初中</w:t>
            </w:r>
          </w:p>
          <w:p w14:paraId="0F7CAE10">
            <w:pPr>
              <w:keepNext w:val="0"/>
              <w:keepLines w:val="0"/>
              <w:pageBreakBefore w:val="0"/>
              <w:widowControl/>
              <w:suppressLineNumbers w:val="0"/>
              <w:kinsoku/>
              <w:wordWrap/>
              <w:overflowPunct/>
              <w:topLinePunct w:val="0"/>
              <w:autoSpaceDE/>
              <w:autoSpaceDN/>
              <w:bidi w:val="0"/>
              <w:adjustRightInd/>
              <w:snapToGrid w:val="0"/>
              <w:spacing w:line="240" w:lineRule="exact"/>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高中</w:t>
            </w:r>
          </w:p>
        </w:tc>
        <w:tc>
          <w:tcPr>
            <w:tcW w:w="2333" w:type="dxa"/>
            <w:noWrap w:val="0"/>
            <w:vAlign w:val="center"/>
          </w:tcPr>
          <w:p w14:paraId="55CF8D0A">
            <w:pPr>
              <w:keepNext w:val="0"/>
              <w:keepLines w:val="0"/>
              <w:pageBreakBefore w:val="0"/>
              <w:widowControl/>
              <w:suppressLineNumbers w:val="0"/>
              <w:kinsoku/>
              <w:wordWrap/>
              <w:overflowPunct/>
              <w:topLinePunct w:val="0"/>
              <w:autoSpaceDE/>
              <w:autoSpaceDN/>
              <w:bidi w:val="0"/>
              <w:adjustRightInd/>
              <w:snapToGrid w:val="0"/>
              <w:spacing w:line="240" w:lineRule="exact"/>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生物/地理课-农业生态与作物种植技术；政治-农业政策与科技兴农战略</w:t>
            </w:r>
          </w:p>
        </w:tc>
      </w:tr>
      <w:tr w14:paraId="4FC596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4" w:hRule="atLeast"/>
          <w:jc w:val="center"/>
        </w:trPr>
        <w:tc>
          <w:tcPr>
            <w:tcW w:w="0" w:type="auto"/>
            <w:noWrap w:val="0"/>
            <w:vAlign w:val="center"/>
          </w:tcPr>
          <w:p w14:paraId="4C76AFD6">
            <w:pPr>
              <w:keepNext w:val="0"/>
              <w:keepLines w:val="0"/>
              <w:pageBreakBefore w:val="0"/>
              <w:widowControl/>
              <w:suppressLineNumbers w:val="0"/>
              <w:kinsoku/>
              <w:wordWrap/>
              <w:overflowPunct/>
              <w:topLinePunct w:val="0"/>
              <w:autoSpaceDE/>
              <w:autoSpaceDN/>
              <w:bidi w:val="0"/>
              <w:adjustRightInd/>
              <w:snapToGrid w:val="0"/>
              <w:spacing w:line="240" w:lineRule="exact"/>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6</w:t>
            </w:r>
          </w:p>
        </w:tc>
        <w:tc>
          <w:tcPr>
            <w:tcW w:w="0" w:type="auto"/>
            <w:noWrap w:val="0"/>
            <w:vAlign w:val="center"/>
          </w:tcPr>
          <w:p w14:paraId="3FB508EA">
            <w:pPr>
              <w:keepNext w:val="0"/>
              <w:keepLines w:val="0"/>
              <w:pageBreakBefore w:val="0"/>
              <w:widowControl/>
              <w:suppressLineNumbers w:val="0"/>
              <w:kinsoku/>
              <w:wordWrap/>
              <w:overflowPunct/>
              <w:topLinePunct w:val="0"/>
              <w:autoSpaceDE/>
              <w:autoSpaceDN/>
              <w:bidi w:val="0"/>
              <w:adjustRightInd/>
              <w:snapToGrid w:val="0"/>
              <w:spacing w:line="240" w:lineRule="exact"/>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碳索未来——环保卫士，向绿而行</w:t>
            </w:r>
          </w:p>
        </w:tc>
        <w:tc>
          <w:tcPr>
            <w:tcW w:w="2219" w:type="dxa"/>
            <w:noWrap w:val="0"/>
            <w:vAlign w:val="center"/>
          </w:tcPr>
          <w:p w14:paraId="45F58F06">
            <w:pPr>
              <w:keepNext w:val="0"/>
              <w:keepLines w:val="0"/>
              <w:pageBreakBefore w:val="0"/>
              <w:widowControl/>
              <w:suppressLineNumbers w:val="0"/>
              <w:kinsoku/>
              <w:wordWrap/>
              <w:overflowPunct/>
              <w:topLinePunct w:val="0"/>
              <w:autoSpaceDE/>
              <w:autoSpaceDN/>
              <w:bidi w:val="0"/>
              <w:adjustRightInd/>
              <w:snapToGrid w:val="0"/>
              <w:spacing w:line="240" w:lineRule="exact"/>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1.垃圾知识科普，垃圾变废为宝，碳索未来</w:t>
            </w:r>
          </w:p>
          <w:p w14:paraId="0FF09B50">
            <w:pPr>
              <w:keepNext w:val="0"/>
              <w:keepLines w:val="0"/>
              <w:pageBreakBefore w:val="0"/>
              <w:widowControl/>
              <w:suppressLineNumbers w:val="0"/>
              <w:kinsoku/>
              <w:wordWrap/>
              <w:overflowPunct/>
              <w:topLinePunct w:val="0"/>
              <w:autoSpaceDE/>
              <w:autoSpaceDN/>
              <w:bidi w:val="0"/>
              <w:adjustRightInd/>
              <w:snapToGrid w:val="0"/>
              <w:spacing w:line="240" w:lineRule="exact"/>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2.徒步森林，给小鸟做窝</w:t>
            </w:r>
          </w:p>
        </w:tc>
        <w:tc>
          <w:tcPr>
            <w:tcW w:w="636" w:type="dxa"/>
            <w:noWrap w:val="0"/>
            <w:vAlign w:val="center"/>
          </w:tcPr>
          <w:p w14:paraId="02749967">
            <w:pPr>
              <w:keepNext w:val="0"/>
              <w:keepLines w:val="0"/>
              <w:pageBreakBefore w:val="0"/>
              <w:widowControl/>
              <w:suppressLineNumbers w:val="0"/>
              <w:kinsoku/>
              <w:wordWrap/>
              <w:overflowPunct/>
              <w:topLinePunct w:val="0"/>
              <w:autoSpaceDE/>
              <w:autoSpaceDN/>
              <w:bidi w:val="0"/>
              <w:adjustRightInd/>
              <w:snapToGrid w:val="0"/>
              <w:spacing w:line="240" w:lineRule="exact"/>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1000</w:t>
            </w:r>
          </w:p>
        </w:tc>
        <w:tc>
          <w:tcPr>
            <w:tcW w:w="778" w:type="dxa"/>
            <w:noWrap w:val="0"/>
            <w:vAlign w:val="center"/>
          </w:tcPr>
          <w:p w14:paraId="69ACA49C">
            <w:pPr>
              <w:keepNext w:val="0"/>
              <w:keepLines w:val="0"/>
              <w:pageBreakBefore w:val="0"/>
              <w:widowControl/>
              <w:suppressLineNumbers w:val="0"/>
              <w:kinsoku/>
              <w:wordWrap/>
              <w:overflowPunct/>
              <w:topLinePunct w:val="0"/>
              <w:autoSpaceDE/>
              <w:autoSpaceDN/>
              <w:bidi w:val="0"/>
              <w:adjustRightInd/>
              <w:snapToGrid w:val="0"/>
              <w:spacing w:line="240" w:lineRule="exact"/>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小学初中</w:t>
            </w:r>
          </w:p>
          <w:p w14:paraId="62BF189E">
            <w:pPr>
              <w:keepNext w:val="0"/>
              <w:keepLines w:val="0"/>
              <w:pageBreakBefore w:val="0"/>
              <w:widowControl/>
              <w:suppressLineNumbers w:val="0"/>
              <w:kinsoku/>
              <w:wordWrap/>
              <w:overflowPunct/>
              <w:topLinePunct w:val="0"/>
              <w:autoSpaceDE/>
              <w:autoSpaceDN/>
              <w:bidi w:val="0"/>
              <w:adjustRightInd/>
              <w:snapToGrid w:val="0"/>
              <w:spacing w:line="240" w:lineRule="exact"/>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高中</w:t>
            </w:r>
          </w:p>
        </w:tc>
        <w:tc>
          <w:tcPr>
            <w:tcW w:w="2333" w:type="dxa"/>
            <w:noWrap w:val="0"/>
            <w:vAlign w:val="center"/>
          </w:tcPr>
          <w:p w14:paraId="0B74B3FB">
            <w:pPr>
              <w:keepNext w:val="0"/>
              <w:keepLines w:val="0"/>
              <w:pageBreakBefore w:val="0"/>
              <w:widowControl/>
              <w:suppressLineNumbers w:val="0"/>
              <w:kinsoku/>
              <w:wordWrap/>
              <w:overflowPunct/>
              <w:topLinePunct w:val="0"/>
              <w:autoSpaceDE/>
              <w:autoSpaceDN/>
              <w:bidi w:val="0"/>
              <w:adjustRightInd/>
              <w:snapToGrid w:val="0"/>
              <w:spacing w:line="240" w:lineRule="exact"/>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科学课-植物的生长变化；劳动课-公益劳动与志愿服务</w:t>
            </w:r>
          </w:p>
        </w:tc>
      </w:tr>
      <w:tr w14:paraId="1C97EA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0" w:type="auto"/>
            <w:noWrap w:val="0"/>
            <w:vAlign w:val="center"/>
          </w:tcPr>
          <w:p w14:paraId="08ADB964">
            <w:pPr>
              <w:keepNext w:val="0"/>
              <w:keepLines w:val="0"/>
              <w:pageBreakBefore w:val="0"/>
              <w:widowControl/>
              <w:suppressLineNumbers w:val="0"/>
              <w:kinsoku/>
              <w:wordWrap/>
              <w:overflowPunct/>
              <w:topLinePunct w:val="0"/>
              <w:autoSpaceDE/>
              <w:autoSpaceDN/>
              <w:bidi w:val="0"/>
              <w:adjustRightInd/>
              <w:snapToGrid w:val="0"/>
              <w:spacing w:line="240" w:lineRule="exact"/>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7</w:t>
            </w:r>
          </w:p>
        </w:tc>
        <w:tc>
          <w:tcPr>
            <w:tcW w:w="0" w:type="auto"/>
            <w:noWrap w:val="0"/>
            <w:vAlign w:val="center"/>
          </w:tcPr>
          <w:p w14:paraId="6B4EAE3E">
            <w:pPr>
              <w:keepNext w:val="0"/>
              <w:keepLines w:val="0"/>
              <w:pageBreakBefore w:val="0"/>
              <w:widowControl/>
              <w:suppressLineNumbers w:val="0"/>
              <w:kinsoku/>
              <w:wordWrap/>
              <w:overflowPunct/>
              <w:topLinePunct w:val="0"/>
              <w:autoSpaceDE/>
              <w:autoSpaceDN/>
              <w:bidi w:val="0"/>
              <w:adjustRightInd/>
              <w:snapToGrid w:val="0"/>
              <w:spacing w:line="240" w:lineRule="exact"/>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遇见“布”一样——五彩斑斓的非遗结晶</w:t>
            </w:r>
          </w:p>
        </w:tc>
        <w:tc>
          <w:tcPr>
            <w:tcW w:w="2219" w:type="dxa"/>
            <w:noWrap w:val="0"/>
            <w:vAlign w:val="center"/>
          </w:tcPr>
          <w:p w14:paraId="1D3C5112">
            <w:pPr>
              <w:keepNext w:val="0"/>
              <w:keepLines w:val="0"/>
              <w:pageBreakBefore w:val="0"/>
              <w:widowControl/>
              <w:suppressLineNumbers w:val="0"/>
              <w:kinsoku/>
              <w:wordWrap/>
              <w:overflowPunct/>
              <w:topLinePunct w:val="0"/>
              <w:autoSpaceDE/>
              <w:autoSpaceDN/>
              <w:bidi w:val="0"/>
              <w:adjustRightInd/>
              <w:snapToGrid w:val="0"/>
              <w:spacing w:line="240" w:lineRule="exact"/>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1.参观剑麻种植区，制作麻绳</w:t>
            </w:r>
          </w:p>
          <w:p w14:paraId="549F4216">
            <w:pPr>
              <w:keepNext w:val="0"/>
              <w:keepLines w:val="0"/>
              <w:pageBreakBefore w:val="0"/>
              <w:widowControl/>
              <w:suppressLineNumbers w:val="0"/>
              <w:kinsoku/>
              <w:wordWrap/>
              <w:overflowPunct/>
              <w:topLinePunct w:val="0"/>
              <w:autoSpaceDE/>
              <w:autoSpaceDN/>
              <w:bidi w:val="0"/>
              <w:adjustRightInd/>
              <w:snapToGrid w:val="0"/>
              <w:spacing w:line="240" w:lineRule="exact"/>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2.传统文化学习，色素提取实验，植染彩布</w:t>
            </w:r>
          </w:p>
        </w:tc>
        <w:tc>
          <w:tcPr>
            <w:tcW w:w="636" w:type="dxa"/>
            <w:noWrap w:val="0"/>
            <w:vAlign w:val="center"/>
          </w:tcPr>
          <w:p w14:paraId="551E6DAC">
            <w:pPr>
              <w:keepNext w:val="0"/>
              <w:keepLines w:val="0"/>
              <w:pageBreakBefore w:val="0"/>
              <w:widowControl/>
              <w:suppressLineNumbers w:val="0"/>
              <w:kinsoku/>
              <w:wordWrap/>
              <w:overflowPunct/>
              <w:topLinePunct w:val="0"/>
              <w:autoSpaceDE/>
              <w:autoSpaceDN/>
              <w:bidi w:val="0"/>
              <w:adjustRightInd/>
              <w:snapToGrid w:val="0"/>
              <w:spacing w:line="240" w:lineRule="exact"/>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1000</w:t>
            </w:r>
          </w:p>
        </w:tc>
        <w:tc>
          <w:tcPr>
            <w:tcW w:w="778" w:type="dxa"/>
            <w:noWrap w:val="0"/>
            <w:vAlign w:val="center"/>
          </w:tcPr>
          <w:p w14:paraId="1C17DCF9">
            <w:pPr>
              <w:keepNext w:val="0"/>
              <w:keepLines w:val="0"/>
              <w:pageBreakBefore w:val="0"/>
              <w:widowControl/>
              <w:suppressLineNumbers w:val="0"/>
              <w:kinsoku/>
              <w:wordWrap/>
              <w:overflowPunct/>
              <w:topLinePunct w:val="0"/>
              <w:autoSpaceDE/>
              <w:autoSpaceDN/>
              <w:bidi w:val="0"/>
              <w:adjustRightInd/>
              <w:snapToGrid w:val="0"/>
              <w:spacing w:line="240" w:lineRule="exact"/>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小学初中</w:t>
            </w:r>
          </w:p>
        </w:tc>
        <w:tc>
          <w:tcPr>
            <w:tcW w:w="2333" w:type="dxa"/>
            <w:noWrap w:val="0"/>
            <w:vAlign w:val="center"/>
          </w:tcPr>
          <w:p w14:paraId="7B40BD33">
            <w:pPr>
              <w:keepNext w:val="0"/>
              <w:keepLines w:val="0"/>
              <w:pageBreakBefore w:val="0"/>
              <w:widowControl/>
              <w:suppressLineNumbers w:val="0"/>
              <w:kinsoku/>
              <w:wordWrap/>
              <w:overflowPunct/>
              <w:topLinePunct w:val="0"/>
              <w:autoSpaceDE/>
              <w:autoSpaceDN/>
              <w:bidi w:val="0"/>
              <w:adjustRightInd/>
              <w:snapToGrid w:val="0"/>
              <w:spacing w:line="240" w:lineRule="exact"/>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化学课-色素、化学反应；科学课-提取色素实验；生物课-植物色素、光合作用</w:t>
            </w:r>
          </w:p>
        </w:tc>
      </w:tr>
      <w:tr w14:paraId="61EACE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87" w:hRule="atLeast"/>
          <w:jc w:val="center"/>
        </w:trPr>
        <w:tc>
          <w:tcPr>
            <w:tcW w:w="0" w:type="auto"/>
            <w:noWrap w:val="0"/>
            <w:vAlign w:val="center"/>
          </w:tcPr>
          <w:p w14:paraId="1C6B61AF">
            <w:pPr>
              <w:keepNext w:val="0"/>
              <w:keepLines w:val="0"/>
              <w:pageBreakBefore w:val="0"/>
              <w:widowControl/>
              <w:suppressLineNumbers w:val="0"/>
              <w:kinsoku/>
              <w:wordWrap/>
              <w:overflowPunct/>
              <w:topLinePunct w:val="0"/>
              <w:autoSpaceDE/>
              <w:autoSpaceDN/>
              <w:bidi w:val="0"/>
              <w:adjustRightInd/>
              <w:snapToGrid w:val="0"/>
              <w:spacing w:line="240" w:lineRule="exact"/>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8</w:t>
            </w:r>
          </w:p>
        </w:tc>
        <w:tc>
          <w:tcPr>
            <w:tcW w:w="0" w:type="auto"/>
            <w:noWrap w:val="0"/>
            <w:vAlign w:val="center"/>
          </w:tcPr>
          <w:p w14:paraId="69E75A3B">
            <w:pPr>
              <w:keepNext w:val="0"/>
              <w:keepLines w:val="0"/>
              <w:pageBreakBefore w:val="0"/>
              <w:widowControl/>
              <w:suppressLineNumbers w:val="0"/>
              <w:kinsoku/>
              <w:wordWrap/>
              <w:overflowPunct/>
              <w:topLinePunct w:val="0"/>
              <w:autoSpaceDE/>
              <w:autoSpaceDN/>
              <w:bidi w:val="0"/>
              <w:adjustRightInd/>
              <w:snapToGrid w:val="0"/>
              <w:spacing w:line="240" w:lineRule="exact"/>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走进木薯——“薯”你最棒</w:t>
            </w:r>
          </w:p>
        </w:tc>
        <w:tc>
          <w:tcPr>
            <w:tcW w:w="2219" w:type="dxa"/>
            <w:noWrap w:val="0"/>
            <w:vAlign w:val="center"/>
          </w:tcPr>
          <w:p w14:paraId="2602D39B">
            <w:pPr>
              <w:keepNext w:val="0"/>
              <w:keepLines w:val="0"/>
              <w:pageBreakBefore w:val="0"/>
              <w:widowControl/>
              <w:suppressLineNumbers w:val="0"/>
              <w:kinsoku/>
              <w:wordWrap/>
              <w:overflowPunct/>
              <w:topLinePunct w:val="0"/>
              <w:autoSpaceDE/>
              <w:autoSpaceDN/>
              <w:bidi w:val="0"/>
              <w:adjustRightInd/>
              <w:snapToGrid w:val="0"/>
              <w:spacing w:line="240" w:lineRule="exact"/>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1.木薯的有关知识，比如形态结构，木薯文化，生长环境，产业分布和生产技术等。</w:t>
            </w:r>
          </w:p>
          <w:p w14:paraId="3630B1FC">
            <w:pPr>
              <w:keepNext w:val="0"/>
              <w:keepLines w:val="0"/>
              <w:pageBreakBefore w:val="0"/>
              <w:widowControl/>
              <w:suppressLineNumbers w:val="0"/>
              <w:kinsoku/>
              <w:wordWrap/>
              <w:overflowPunct/>
              <w:topLinePunct w:val="0"/>
              <w:autoSpaceDE/>
              <w:autoSpaceDN/>
              <w:bidi w:val="0"/>
              <w:adjustRightInd/>
              <w:snapToGrid w:val="0"/>
              <w:spacing w:line="240" w:lineRule="exact"/>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2.木薯劳作体验，比如木薯种植、采收环节。</w:t>
            </w:r>
          </w:p>
        </w:tc>
        <w:tc>
          <w:tcPr>
            <w:tcW w:w="636" w:type="dxa"/>
            <w:noWrap w:val="0"/>
            <w:vAlign w:val="center"/>
          </w:tcPr>
          <w:p w14:paraId="58DA18A8">
            <w:pPr>
              <w:keepNext w:val="0"/>
              <w:keepLines w:val="0"/>
              <w:pageBreakBefore w:val="0"/>
              <w:widowControl/>
              <w:suppressLineNumbers w:val="0"/>
              <w:kinsoku/>
              <w:wordWrap/>
              <w:overflowPunct/>
              <w:topLinePunct w:val="0"/>
              <w:autoSpaceDE/>
              <w:autoSpaceDN/>
              <w:bidi w:val="0"/>
              <w:adjustRightInd/>
              <w:snapToGrid w:val="0"/>
              <w:spacing w:line="240" w:lineRule="exact"/>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1000</w:t>
            </w:r>
          </w:p>
        </w:tc>
        <w:tc>
          <w:tcPr>
            <w:tcW w:w="778" w:type="dxa"/>
            <w:noWrap w:val="0"/>
            <w:vAlign w:val="center"/>
          </w:tcPr>
          <w:p w14:paraId="2D5364D8">
            <w:pPr>
              <w:keepNext w:val="0"/>
              <w:keepLines w:val="0"/>
              <w:pageBreakBefore w:val="0"/>
              <w:widowControl/>
              <w:suppressLineNumbers w:val="0"/>
              <w:kinsoku/>
              <w:wordWrap/>
              <w:overflowPunct/>
              <w:topLinePunct w:val="0"/>
              <w:autoSpaceDE/>
              <w:autoSpaceDN/>
              <w:bidi w:val="0"/>
              <w:adjustRightInd/>
              <w:snapToGrid w:val="0"/>
              <w:spacing w:line="240" w:lineRule="exact"/>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小学初中</w:t>
            </w:r>
          </w:p>
        </w:tc>
        <w:tc>
          <w:tcPr>
            <w:tcW w:w="2333" w:type="dxa"/>
            <w:noWrap w:val="0"/>
            <w:vAlign w:val="center"/>
          </w:tcPr>
          <w:p w14:paraId="1E4AC199">
            <w:pPr>
              <w:keepNext w:val="0"/>
              <w:keepLines w:val="0"/>
              <w:pageBreakBefore w:val="0"/>
              <w:widowControl/>
              <w:suppressLineNumbers w:val="0"/>
              <w:kinsoku/>
              <w:wordWrap/>
              <w:overflowPunct/>
              <w:topLinePunct w:val="0"/>
              <w:autoSpaceDE/>
              <w:autoSpaceDN/>
              <w:bidi w:val="0"/>
              <w:adjustRightInd/>
              <w:snapToGrid w:val="0"/>
              <w:spacing w:line="240" w:lineRule="exact"/>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生物课-了解木薯的生物学特征；劳动课-农业生产劳动、烹饪与营养</w:t>
            </w:r>
          </w:p>
        </w:tc>
      </w:tr>
      <w:tr w14:paraId="294322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14" w:hRule="atLeast"/>
          <w:jc w:val="center"/>
        </w:trPr>
        <w:tc>
          <w:tcPr>
            <w:tcW w:w="0" w:type="auto"/>
            <w:noWrap w:val="0"/>
            <w:vAlign w:val="center"/>
          </w:tcPr>
          <w:p w14:paraId="5DC509A6">
            <w:pPr>
              <w:keepNext w:val="0"/>
              <w:keepLines w:val="0"/>
              <w:pageBreakBefore w:val="0"/>
              <w:widowControl/>
              <w:suppressLineNumbers w:val="0"/>
              <w:kinsoku/>
              <w:wordWrap/>
              <w:overflowPunct/>
              <w:topLinePunct w:val="0"/>
              <w:autoSpaceDE/>
              <w:autoSpaceDN/>
              <w:bidi w:val="0"/>
              <w:adjustRightInd/>
              <w:snapToGrid w:val="0"/>
              <w:spacing w:line="240" w:lineRule="exact"/>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9</w:t>
            </w:r>
          </w:p>
        </w:tc>
        <w:tc>
          <w:tcPr>
            <w:tcW w:w="0" w:type="auto"/>
            <w:noWrap w:val="0"/>
            <w:vAlign w:val="center"/>
          </w:tcPr>
          <w:p w14:paraId="6A6DEB5F">
            <w:pPr>
              <w:keepNext w:val="0"/>
              <w:keepLines w:val="0"/>
              <w:pageBreakBefore w:val="0"/>
              <w:widowControl/>
              <w:suppressLineNumbers w:val="0"/>
              <w:kinsoku/>
              <w:wordWrap/>
              <w:overflowPunct/>
              <w:topLinePunct w:val="0"/>
              <w:autoSpaceDE/>
              <w:autoSpaceDN/>
              <w:bidi w:val="0"/>
              <w:adjustRightInd/>
              <w:snapToGrid w:val="0"/>
              <w:spacing w:line="240" w:lineRule="exact"/>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农事体验-与美好相“玉”</w:t>
            </w:r>
          </w:p>
        </w:tc>
        <w:tc>
          <w:tcPr>
            <w:tcW w:w="2219" w:type="dxa"/>
            <w:noWrap w:val="0"/>
            <w:vAlign w:val="center"/>
          </w:tcPr>
          <w:p w14:paraId="497B044C">
            <w:pPr>
              <w:keepNext w:val="0"/>
              <w:keepLines w:val="0"/>
              <w:pageBreakBefore w:val="0"/>
              <w:widowControl/>
              <w:suppressLineNumbers w:val="0"/>
              <w:kinsoku/>
              <w:wordWrap/>
              <w:overflowPunct/>
              <w:topLinePunct w:val="0"/>
              <w:autoSpaceDE/>
              <w:autoSpaceDN/>
              <w:bidi w:val="0"/>
              <w:adjustRightInd/>
              <w:snapToGrid w:val="0"/>
              <w:spacing w:line="240" w:lineRule="exact"/>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1.玉米种植的流程和方法。</w:t>
            </w:r>
          </w:p>
          <w:p w14:paraId="4540C83D">
            <w:pPr>
              <w:keepNext w:val="0"/>
              <w:keepLines w:val="0"/>
              <w:pageBreakBefore w:val="0"/>
              <w:widowControl/>
              <w:suppressLineNumbers w:val="0"/>
              <w:kinsoku/>
              <w:wordWrap/>
              <w:overflowPunct/>
              <w:topLinePunct w:val="0"/>
              <w:autoSpaceDE/>
              <w:autoSpaceDN/>
              <w:bidi w:val="0"/>
              <w:adjustRightInd/>
              <w:snapToGrid w:val="0"/>
              <w:spacing w:line="240" w:lineRule="exact"/>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2.蔬菜的田间管理。</w:t>
            </w:r>
          </w:p>
          <w:p w14:paraId="04020A51">
            <w:pPr>
              <w:keepNext w:val="0"/>
              <w:keepLines w:val="0"/>
              <w:pageBreakBefore w:val="0"/>
              <w:widowControl/>
              <w:suppressLineNumbers w:val="0"/>
              <w:kinsoku/>
              <w:wordWrap/>
              <w:overflowPunct/>
              <w:topLinePunct w:val="0"/>
              <w:autoSpaceDE/>
              <w:autoSpaceDN/>
              <w:bidi w:val="0"/>
              <w:adjustRightInd/>
              <w:snapToGrid w:val="0"/>
              <w:spacing w:line="240" w:lineRule="exact"/>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3.了解农作物与杂草、害虫的关系。</w:t>
            </w:r>
          </w:p>
        </w:tc>
        <w:tc>
          <w:tcPr>
            <w:tcW w:w="636" w:type="dxa"/>
            <w:noWrap w:val="0"/>
            <w:vAlign w:val="center"/>
          </w:tcPr>
          <w:p w14:paraId="02A8DBE6">
            <w:pPr>
              <w:keepNext w:val="0"/>
              <w:keepLines w:val="0"/>
              <w:pageBreakBefore w:val="0"/>
              <w:widowControl/>
              <w:suppressLineNumbers w:val="0"/>
              <w:kinsoku/>
              <w:wordWrap/>
              <w:overflowPunct/>
              <w:topLinePunct w:val="0"/>
              <w:autoSpaceDE/>
              <w:autoSpaceDN/>
              <w:bidi w:val="0"/>
              <w:adjustRightInd/>
              <w:snapToGrid w:val="0"/>
              <w:spacing w:line="240" w:lineRule="exact"/>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1000</w:t>
            </w:r>
          </w:p>
        </w:tc>
        <w:tc>
          <w:tcPr>
            <w:tcW w:w="778" w:type="dxa"/>
            <w:noWrap w:val="0"/>
            <w:vAlign w:val="center"/>
          </w:tcPr>
          <w:p w14:paraId="7305E392">
            <w:pPr>
              <w:keepNext w:val="0"/>
              <w:keepLines w:val="0"/>
              <w:pageBreakBefore w:val="0"/>
              <w:widowControl/>
              <w:suppressLineNumbers w:val="0"/>
              <w:kinsoku/>
              <w:wordWrap/>
              <w:overflowPunct/>
              <w:topLinePunct w:val="0"/>
              <w:autoSpaceDE/>
              <w:autoSpaceDN/>
              <w:bidi w:val="0"/>
              <w:adjustRightInd/>
              <w:snapToGrid w:val="0"/>
              <w:spacing w:line="240" w:lineRule="exact"/>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小学初中</w:t>
            </w:r>
          </w:p>
        </w:tc>
        <w:tc>
          <w:tcPr>
            <w:tcW w:w="2333" w:type="dxa"/>
            <w:noWrap w:val="0"/>
            <w:vAlign w:val="center"/>
          </w:tcPr>
          <w:p w14:paraId="2CE295B1">
            <w:pPr>
              <w:keepNext w:val="0"/>
              <w:keepLines w:val="0"/>
              <w:pageBreakBefore w:val="0"/>
              <w:widowControl/>
              <w:suppressLineNumbers w:val="0"/>
              <w:kinsoku/>
              <w:wordWrap/>
              <w:overflowPunct/>
              <w:topLinePunct w:val="0"/>
              <w:autoSpaceDE/>
              <w:autoSpaceDN/>
              <w:bidi w:val="0"/>
              <w:adjustRightInd/>
              <w:snapToGrid w:val="0"/>
              <w:spacing w:line="240" w:lineRule="exact"/>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生物课-玉米生长与农业技术；劳动课-农业劳动技能</w:t>
            </w:r>
          </w:p>
        </w:tc>
      </w:tr>
      <w:tr w14:paraId="43F2E4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30" w:hRule="atLeast"/>
          <w:jc w:val="center"/>
        </w:trPr>
        <w:tc>
          <w:tcPr>
            <w:tcW w:w="0" w:type="auto"/>
            <w:noWrap w:val="0"/>
            <w:vAlign w:val="center"/>
          </w:tcPr>
          <w:p w14:paraId="125D1ADB">
            <w:pPr>
              <w:keepNext w:val="0"/>
              <w:keepLines w:val="0"/>
              <w:pageBreakBefore w:val="0"/>
              <w:widowControl/>
              <w:suppressLineNumbers w:val="0"/>
              <w:kinsoku/>
              <w:wordWrap/>
              <w:overflowPunct/>
              <w:topLinePunct w:val="0"/>
              <w:autoSpaceDE/>
              <w:autoSpaceDN/>
              <w:bidi w:val="0"/>
              <w:adjustRightInd/>
              <w:snapToGrid w:val="0"/>
              <w:spacing w:line="240" w:lineRule="exact"/>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10</w:t>
            </w:r>
          </w:p>
        </w:tc>
        <w:tc>
          <w:tcPr>
            <w:tcW w:w="0" w:type="auto"/>
            <w:noWrap w:val="0"/>
            <w:vAlign w:val="center"/>
          </w:tcPr>
          <w:p w14:paraId="5F37E16E">
            <w:pPr>
              <w:keepNext w:val="0"/>
              <w:keepLines w:val="0"/>
              <w:pageBreakBefore w:val="0"/>
              <w:widowControl/>
              <w:suppressLineNumbers w:val="0"/>
              <w:kinsoku/>
              <w:wordWrap/>
              <w:overflowPunct/>
              <w:topLinePunct w:val="0"/>
              <w:autoSpaceDE/>
              <w:autoSpaceDN/>
              <w:bidi w:val="0"/>
              <w:adjustRightInd/>
              <w:snapToGrid w:val="0"/>
              <w:spacing w:line="240" w:lineRule="exact"/>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小小茶农体验日</w:t>
            </w:r>
          </w:p>
        </w:tc>
        <w:tc>
          <w:tcPr>
            <w:tcW w:w="2219" w:type="dxa"/>
            <w:noWrap w:val="0"/>
            <w:vAlign w:val="center"/>
          </w:tcPr>
          <w:p w14:paraId="50DAB8F1">
            <w:pPr>
              <w:keepNext w:val="0"/>
              <w:keepLines w:val="0"/>
              <w:pageBreakBefore w:val="0"/>
              <w:widowControl/>
              <w:suppressLineNumbers w:val="0"/>
              <w:kinsoku/>
              <w:wordWrap/>
              <w:overflowPunct/>
              <w:topLinePunct w:val="0"/>
              <w:autoSpaceDE/>
              <w:autoSpaceDN/>
              <w:bidi w:val="0"/>
              <w:adjustRightInd/>
              <w:snapToGrid w:val="0"/>
              <w:spacing w:line="240" w:lineRule="exact"/>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1.认识茶叶的生长环境和条件；</w:t>
            </w:r>
          </w:p>
          <w:p w14:paraId="2AB85103">
            <w:pPr>
              <w:keepNext w:val="0"/>
              <w:keepLines w:val="0"/>
              <w:pageBreakBefore w:val="0"/>
              <w:widowControl/>
              <w:suppressLineNumbers w:val="0"/>
              <w:kinsoku/>
              <w:wordWrap/>
              <w:overflowPunct/>
              <w:topLinePunct w:val="0"/>
              <w:autoSpaceDE/>
              <w:autoSpaceDN/>
              <w:bidi w:val="0"/>
              <w:adjustRightInd/>
              <w:snapToGrid w:val="0"/>
              <w:spacing w:line="240" w:lineRule="exact"/>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2.了解茶叶的种植、采摘和制作工艺；</w:t>
            </w:r>
          </w:p>
        </w:tc>
        <w:tc>
          <w:tcPr>
            <w:tcW w:w="636" w:type="dxa"/>
            <w:noWrap w:val="0"/>
            <w:vAlign w:val="center"/>
          </w:tcPr>
          <w:p w14:paraId="38F18FBD">
            <w:pPr>
              <w:keepNext w:val="0"/>
              <w:keepLines w:val="0"/>
              <w:pageBreakBefore w:val="0"/>
              <w:widowControl/>
              <w:suppressLineNumbers w:val="0"/>
              <w:kinsoku/>
              <w:wordWrap/>
              <w:overflowPunct/>
              <w:topLinePunct w:val="0"/>
              <w:autoSpaceDE/>
              <w:autoSpaceDN/>
              <w:bidi w:val="0"/>
              <w:adjustRightInd/>
              <w:snapToGrid w:val="0"/>
              <w:spacing w:line="240" w:lineRule="exact"/>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1000</w:t>
            </w:r>
          </w:p>
        </w:tc>
        <w:tc>
          <w:tcPr>
            <w:tcW w:w="778" w:type="dxa"/>
            <w:noWrap w:val="0"/>
            <w:vAlign w:val="center"/>
          </w:tcPr>
          <w:p w14:paraId="28CBB0AF">
            <w:pPr>
              <w:keepNext w:val="0"/>
              <w:keepLines w:val="0"/>
              <w:pageBreakBefore w:val="0"/>
              <w:widowControl/>
              <w:suppressLineNumbers w:val="0"/>
              <w:kinsoku/>
              <w:wordWrap/>
              <w:overflowPunct/>
              <w:topLinePunct w:val="0"/>
              <w:autoSpaceDE/>
              <w:autoSpaceDN/>
              <w:bidi w:val="0"/>
              <w:adjustRightInd/>
              <w:snapToGrid w:val="0"/>
              <w:spacing w:line="240" w:lineRule="exact"/>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小学初中</w:t>
            </w:r>
          </w:p>
        </w:tc>
        <w:tc>
          <w:tcPr>
            <w:tcW w:w="2333" w:type="dxa"/>
            <w:noWrap w:val="0"/>
            <w:vAlign w:val="center"/>
          </w:tcPr>
          <w:p w14:paraId="78D6D7F7">
            <w:pPr>
              <w:keepNext w:val="0"/>
              <w:keepLines w:val="0"/>
              <w:pageBreakBefore w:val="0"/>
              <w:widowControl/>
              <w:suppressLineNumbers w:val="0"/>
              <w:kinsoku/>
              <w:wordWrap/>
              <w:overflowPunct/>
              <w:topLinePunct w:val="0"/>
              <w:autoSpaceDE/>
              <w:autoSpaceDN/>
              <w:bidi w:val="0"/>
              <w:adjustRightInd/>
              <w:snapToGrid w:val="0"/>
              <w:spacing w:line="240" w:lineRule="exact"/>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生物课-茶叶生长与农业技术；劳动课-农业劳动技能</w:t>
            </w:r>
          </w:p>
        </w:tc>
      </w:tr>
    </w:tbl>
    <w:p w14:paraId="6DC397AB">
      <w:pPr>
        <w:pStyle w:val="4"/>
        <w:keepNext w:val="0"/>
        <w:keepLines w:val="0"/>
        <w:pageBreakBefore w:val="0"/>
        <w:widowControl w:val="0"/>
        <w:numPr>
          <w:ilvl w:val="0"/>
          <w:numId w:val="0"/>
        </w:numPr>
        <w:kinsoku/>
        <w:wordWrap/>
        <w:overflowPunct/>
        <w:topLinePunct w:val="0"/>
        <w:autoSpaceDE/>
        <w:autoSpaceDN/>
        <w:bidi w:val="0"/>
        <w:adjustRightInd/>
        <w:snapToGrid w:val="0"/>
        <w:spacing w:line="360" w:lineRule="auto"/>
        <w:ind w:firstLine="560" w:firstLineChars="200"/>
        <w:textAlignment w:val="auto"/>
        <w:outlineLvl w:val="9"/>
        <w:rPr>
          <w:rFonts w:hint="eastAsia" w:ascii="仿宋_GB2312" w:hAnsi="仿宋_GB2312" w:eastAsia="仿宋_GB2312" w:cs="仿宋_GB2312"/>
          <w:color w:val="auto"/>
          <w:kern w:val="2"/>
          <w:sz w:val="28"/>
          <w:szCs w:val="28"/>
          <w:lang w:val="en-US" w:eastAsia="zh-CN" w:bidi="ar-SA"/>
        </w:rPr>
        <w:sectPr>
          <w:pgSz w:w="11906" w:h="16838"/>
          <w:pgMar w:top="1383" w:right="1633" w:bottom="1327" w:left="1633" w:header="0" w:footer="992" w:gutter="0"/>
          <w:pgNumType w:fmt="decimal"/>
          <w:cols w:space="0" w:num="1"/>
          <w:rtlGutter w:val="0"/>
          <w:docGrid w:linePitch="0" w:charSpace="0"/>
        </w:sectPr>
      </w:pPr>
    </w:p>
    <w:p w14:paraId="15FC67CD">
      <w:pPr>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jc w:val="center"/>
        <w:textAlignment w:val="auto"/>
        <w:outlineLvl w:val="0"/>
        <w:rPr>
          <w:rFonts w:hint="eastAsia" w:ascii="仿宋" w:hAnsi="仿宋" w:eastAsia="仿宋" w:cs="仿宋"/>
          <w:b/>
          <w:bCs/>
          <w:kern w:val="2"/>
          <w:sz w:val="21"/>
          <w:szCs w:val="21"/>
          <w:lang w:val="en-US" w:eastAsia="zh-CN" w:bidi="ar-SA"/>
        </w:rPr>
      </w:pPr>
      <w:r>
        <w:rPr>
          <w:rFonts w:hint="eastAsia" w:ascii="仿宋" w:hAnsi="仿宋" w:eastAsia="仿宋" w:cs="仿宋"/>
          <w:b/>
          <w:bCs/>
          <w:kern w:val="2"/>
          <w:sz w:val="21"/>
          <w:szCs w:val="21"/>
          <w:lang w:val="en-US" w:eastAsia="zh-CN" w:bidi="ar-SA"/>
        </w:rPr>
        <w:t>表3 广西热作所中小学生劳动教育主题课程</w:t>
      </w:r>
    </w:p>
    <w:tbl>
      <w:tblPr>
        <w:tblStyle w:val="10"/>
        <w:tblW w:w="955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06"/>
        <w:gridCol w:w="1062"/>
        <w:gridCol w:w="1447"/>
        <w:gridCol w:w="810"/>
        <w:gridCol w:w="774"/>
        <w:gridCol w:w="1621"/>
        <w:gridCol w:w="2738"/>
      </w:tblGrid>
      <w:tr w14:paraId="7EA642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1" w:hRule="atLeast"/>
          <w:jc w:val="center"/>
        </w:trPr>
        <w:tc>
          <w:tcPr>
            <w:tcW w:w="1106" w:type="dxa"/>
            <w:noWrap w:val="0"/>
            <w:vAlign w:val="center"/>
          </w:tcPr>
          <w:p w14:paraId="0ABA8FC0">
            <w:pPr>
              <w:keepNext w:val="0"/>
              <w:keepLines w:val="0"/>
              <w:pageBreakBefore w:val="0"/>
              <w:widowControl/>
              <w:suppressLineNumbers w:val="0"/>
              <w:kinsoku/>
              <w:wordWrap/>
              <w:overflowPunct/>
              <w:topLinePunct w:val="0"/>
              <w:autoSpaceDE/>
              <w:autoSpaceDN/>
              <w:bidi w:val="0"/>
              <w:adjustRightInd/>
              <w:snapToGrid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对应劳动任务群</w:t>
            </w:r>
          </w:p>
        </w:tc>
        <w:tc>
          <w:tcPr>
            <w:tcW w:w="1062" w:type="dxa"/>
            <w:noWrap w:val="0"/>
            <w:vAlign w:val="center"/>
          </w:tcPr>
          <w:p w14:paraId="699F24E0">
            <w:pPr>
              <w:keepNext w:val="0"/>
              <w:keepLines w:val="0"/>
              <w:pageBreakBefore w:val="0"/>
              <w:widowControl/>
              <w:suppressLineNumbers w:val="0"/>
              <w:kinsoku/>
              <w:wordWrap/>
              <w:overflowPunct/>
              <w:topLinePunct w:val="0"/>
              <w:autoSpaceDE/>
              <w:autoSpaceDN/>
              <w:bidi w:val="0"/>
              <w:adjustRightInd/>
              <w:snapToGrid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课程名称</w:t>
            </w:r>
          </w:p>
        </w:tc>
        <w:tc>
          <w:tcPr>
            <w:tcW w:w="1447" w:type="dxa"/>
            <w:noWrap w:val="0"/>
            <w:vAlign w:val="center"/>
          </w:tcPr>
          <w:p w14:paraId="1C89B6D4">
            <w:pPr>
              <w:keepNext w:val="0"/>
              <w:keepLines w:val="0"/>
              <w:pageBreakBefore w:val="0"/>
              <w:widowControl/>
              <w:suppressLineNumbers w:val="0"/>
              <w:kinsoku/>
              <w:wordWrap/>
              <w:overflowPunct/>
              <w:topLinePunct w:val="0"/>
              <w:autoSpaceDE/>
              <w:autoSpaceDN/>
              <w:bidi w:val="0"/>
              <w:adjustRightInd/>
              <w:snapToGrid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课程内容</w:t>
            </w:r>
          </w:p>
        </w:tc>
        <w:tc>
          <w:tcPr>
            <w:tcW w:w="810" w:type="dxa"/>
            <w:noWrap w:val="0"/>
            <w:vAlign w:val="center"/>
          </w:tcPr>
          <w:p w14:paraId="4335076F">
            <w:pPr>
              <w:keepNext w:val="0"/>
              <w:keepLines w:val="0"/>
              <w:pageBreakBefore w:val="0"/>
              <w:widowControl/>
              <w:suppressLineNumbers w:val="0"/>
              <w:kinsoku/>
              <w:wordWrap/>
              <w:overflowPunct/>
              <w:topLinePunct w:val="0"/>
              <w:autoSpaceDE/>
              <w:autoSpaceDN/>
              <w:bidi w:val="0"/>
              <w:adjustRightInd/>
              <w:snapToGrid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课程人数</w:t>
            </w:r>
          </w:p>
        </w:tc>
        <w:tc>
          <w:tcPr>
            <w:tcW w:w="774" w:type="dxa"/>
            <w:noWrap w:val="0"/>
            <w:vAlign w:val="center"/>
          </w:tcPr>
          <w:p w14:paraId="6E7C2080">
            <w:pPr>
              <w:keepNext w:val="0"/>
              <w:keepLines w:val="0"/>
              <w:pageBreakBefore w:val="0"/>
              <w:widowControl/>
              <w:suppressLineNumbers w:val="0"/>
              <w:kinsoku/>
              <w:wordWrap/>
              <w:overflowPunct/>
              <w:topLinePunct w:val="0"/>
              <w:autoSpaceDE/>
              <w:autoSpaceDN/>
              <w:bidi w:val="0"/>
              <w:adjustRightInd/>
              <w:snapToGrid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课程</w:t>
            </w:r>
          </w:p>
          <w:p w14:paraId="729FA630">
            <w:pPr>
              <w:keepNext w:val="0"/>
              <w:keepLines w:val="0"/>
              <w:pageBreakBefore w:val="0"/>
              <w:widowControl/>
              <w:suppressLineNumbers w:val="0"/>
              <w:kinsoku/>
              <w:wordWrap/>
              <w:overflowPunct/>
              <w:topLinePunct w:val="0"/>
              <w:autoSpaceDE/>
              <w:autoSpaceDN/>
              <w:bidi w:val="0"/>
              <w:adjustRightInd/>
              <w:snapToGrid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对象</w:t>
            </w:r>
          </w:p>
        </w:tc>
        <w:tc>
          <w:tcPr>
            <w:tcW w:w="1621" w:type="dxa"/>
            <w:noWrap w:val="0"/>
            <w:vAlign w:val="center"/>
          </w:tcPr>
          <w:p w14:paraId="7403BB80">
            <w:pPr>
              <w:keepNext w:val="0"/>
              <w:keepLines w:val="0"/>
              <w:pageBreakBefore w:val="0"/>
              <w:widowControl/>
              <w:suppressLineNumbers w:val="0"/>
              <w:kinsoku/>
              <w:wordWrap/>
              <w:overflowPunct/>
              <w:topLinePunct w:val="0"/>
              <w:autoSpaceDE/>
              <w:autoSpaceDN/>
              <w:bidi w:val="0"/>
              <w:adjustRightInd/>
              <w:snapToGrid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分组情况</w:t>
            </w:r>
          </w:p>
        </w:tc>
        <w:tc>
          <w:tcPr>
            <w:tcW w:w="2738" w:type="dxa"/>
            <w:noWrap w:val="0"/>
            <w:vAlign w:val="center"/>
          </w:tcPr>
          <w:p w14:paraId="4EAC4D98">
            <w:pPr>
              <w:keepNext w:val="0"/>
              <w:keepLines w:val="0"/>
              <w:pageBreakBefore w:val="0"/>
              <w:widowControl/>
              <w:suppressLineNumbers w:val="0"/>
              <w:kinsoku/>
              <w:wordWrap/>
              <w:overflowPunct/>
              <w:topLinePunct w:val="0"/>
              <w:autoSpaceDE/>
              <w:autoSpaceDN/>
              <w:bidi w:val="0"/>
              <w:adjustRightInd/>
              <w:snapToGrid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课程设计</w:t>
            </w:r>
          </w:p>
        </w:tc>
      </w:tr>
      <w:tr w14:paraId="2E3EB4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6" w:hRule="atLeast"/>
          <w:jc w:val="center"/>
        </w:trPr>
        <w:tc>
          <w:tcPr>
            <w:tcW w:w="1106" w:type="dxa"/>
            <w:vMerge w:val="restart"/>
            <w:noWrap w:val="0"/>
            <w:vAlign w:val="center"/>
          </w:tcPr>
          <w:p w14:paraId="3FC5609F">
            <w:pPr>
              <w:keepNext w:val="0"/>
              <w:keepLines w:val="0"/>
              <w:pageBreakBefore w:val="0"/>
              <w:widowControl/>
              <w:suppressLineNumbers w:val="0"/>
              <w:kinsoku/>
              <w:wordWrap/>
              <w:overflowPunct/>
              <w:topLinePunct w:val="0"/>
              <w:autoSpaceDE/>
              <w:autoSpaceDN/>
              <w:bidi w:val="0"/>
              <w:adjustRightInd/>
              <w:snapToGrid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农业生产</w:t>
            </w:r>
          </w:p>
          <w:p w14:paraId="64E98AB7">
            <w:pPr>
              <w:keepNext w:val="0"/>
              <w:keepLines w:val="0"/>
              <w:pageBreakBefore w:val="0"/>
              <w:widowControl/>
              <w:suppressLineNumbers w:val="0"/>
              <w:kinsoku/>
              <w:wordWrap/>
              <w:overflowPunct/>
              <w:topLinePunct w:val="0"/>
              <w:autoSpaceDE/>
              <w:autoSpaceDN/>
              <w:bidi w:val="0"/>
              <w:adjustRightInd/>
              <w:snapToGrid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劳动</w:t>
            </w:r>
          </w:p>
          <w:p w14:paraId="2CFBA821">
            <w:pPr>
              <w:keepNext w:val="0"/>
              <w:keepLines w:val="0"/>
              <w:pageBreakBefore w:val="0"/>
              <w:widowControl/>
              <w:suppressLineNumbers w:val="0"/>
              <w:kinsoku/>
              <w:wordWrap/>
              <w:overflowPunct/>
              <w:topLinePunct w:val="0"/>
              <w:autoSpaceDE/>
              <w:autoSpaceDN/>
              <w:bidi w:val="0"/>
              <w:adjustRightInd/>
              <w:snapToGrid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p>
        </w:tc>
        <w:tc>
          <w:tcPr>
            <w:tcW w:w="1062" w:type="dxa"/>
            <w:shd w:val="clear" w:color="auto" w:fill="auto"/>
            <w:noWrap w:val="0"/>
            <w:vAlign w:val="center"/>
          </w:tcPr>
          <w:p w14:paraId="4FD8E459">
            <w:pPr>
              <w:keepNext w:val="0"/>
              <w:keepLines w:val="0"/>
              <w:pageBreakBefore w:val="0"/>
              <w:widowControl/>
              <w:suppressLineNumbers w:val="0"/>
              <w:kinsoku/>
              <w:wordWrap/>
              <w:overflowPunct/>
              <w:topLinePunct w:val="0"/>
              <w:autoSpaceDE/>
              <w:autoSpaceDN/>
              <w:bidi w:val="0"/>
              <w:adjustRightInd/>
              <w:snapToGrid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1.农事体验主题课程；</w:t>
            </w:r>
          </w:p>
          <w:p w14:paraId="1FE0BC0C">
            <w:pPr>
              <w:keepNext w:val="0"/>
              <w:keepLines w:val="0"/>
              <w:pageBreakBefore w:val="0"/>
              <w:widowControl/>
              <w:suppressLineNumbers w:val="0"/>
              <w:kinsoku/>
              <w:wordWrap/>
              <w:overflowPunct/>
              <w:topLinePunct w:val="0"/>
              <w:autoSpaceDE/>
              <w:autoSpaceDN/>
              <w:bidi w:val="0"/>
              <w:adjustRightInd/>
              <w:snapToGrid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2.农业技能大学习主题课程</w:t>
            </w:r>
          </w:p>
        </w:tc>
        <w:tc>
          <w:tcPr>
            <w:tcW w:w="1447" w:type="dxa"/>
            <w:shd w:val="clear" w:color="auto" w:fill="auto"/>
            <w:noWrap w:val="0"/>
            <w:vAlign w:val="center"/>
          </w:tcPr>
          <w:p w14:paraId="03A7EFC3">
            <w:pPr>
              <w:keepNext w:val="0"/>
              <w:keepLines w:val="0"/>
              <w:pageBreakBefore w:val="0"/>
              <w:widowControl/>
              <w:suppressLineNumbers w:val="0"/>
              <w:kinsoku/>
              <w:wordWrap/>
              <w:overflowPunct/>
              <w:topLinePunct w:val="0"/>
              <w:autoSpaceDE/>
              <w:autoSpaceDN/>
              <w:bidi w:val="0"/>
              <w:adjustRightInd/>
              <w:snapToGrid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1.学习实践扦插技术</w:t>
            </w:r>
          </w:p>
          <w:p w14:paraId="1FE426A6">
            <w:pPr>
              <w:keepNext w:val="0"/>
              <w:keepLines w:val="0"/>
              <w:pageBreakBefore w:val="0"/>
              <w:widowControl/>
              <w:suppressLineNumbers w:val="0"/>
              <w:kinsoku/>
              <w:wordWrap/>
              <w:overflowPunct/>
              <w:topLinePunct w:val="0"/>
              <w:autoSpaceDE/>
              <w:autoSpaceDN/>
              <w:bidi w:val="0"/>
              <w:adjustRightInd/>
              <w:snapToGrid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2.学习实践嫁接技术</w:t>
            </w:r>
          </w:p>
          <w:p w14:paraId="63827357">
            <w:pPr>
              <w:keepNext w:val="0"/>
              <w:keepLines w:val="0"/>
              <w:pageBreakBefore w:val="0"/>
              <w:widowControl/>
              <w:suppressLineNumbers w:val="0"/>
              <w:kinsoku/>
              <w:wordWrap/>
              <w:overflowPunct/>
              <w:topLinePunct w:val="0"/>
              <w:autoSpaceDE/>
              <w:autoSpaceDN/>
              <w:bidi w:val="0"/>
              <w:adjustRightInd/>
              <w:snapToGrid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3.学习植物保护技术</w:t>
            </w:r>
          </w:p>
          <w:p w14:paraId="02AFC2AC">
            <w:pPr>
              <w:keepNext w:val="0"/>
              <w:keepLines w:val="0"/>
              <w:pageBreakBefore w:val="0"/>
              <w:widowControl/>
              <w:suppressLineNumbers w:val="0"/>
              <w:kinsoku/>
              <w:wordWrap/>
              <w:overflowPunct/>
              <w:topLinePunct w:val="0"/>
              <w:autoSpaceDE/>
              <w:autoSpaceDN/>
              <w:bidi w:val="0"/>
              <w:adjustRightInd/>
              <w:snapToGrid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4.学习植物组培技术</w:t>
            </w:r>
          </w:p>
        </w:tc>
        <w:tc>
          <w:tcPr>
            <w:tcW w:w="810" w:type="dxa"/>
            <w:shd w:val="clear" w:color="auto" w:fill="auto"/>
            <w:noWrap w:val="0"/>
            <w:vAlign w:val="center"/>
          </w:tcPr>
          <w:p w14:paraId="7168AA9F">
            <w:pPr>
              <w:keepNext w:val="0"/>
              <w:keepLines w:val="0"/>
              <w:pageBreakBefore w:val="0"/>
              <w:widowControl/>
              <w:suppressLineNumbers w:val="0"/>
              <w:kinsoku/>
              <w:wordWrap/>
              <w:overflowPunct/>
              <w:topLinePunct w:val="0"/>
              <w:autoSpaceDE/>
              <w:autoSpaceDN/>
              <w:bidi w:val="0"/>
              <w:adjustRightInd/>
              <w:snapToGrid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300</w:t>
            </w:r>
          </w:p>
        </w:tc>
        <w:tc>
          <w:tcPr>
            <w:tcW w:w="774" w:type="dxa"/>
            <w:shd w:val="clear" w:color="auto" w:fill="auto"/>
            <w:noWrap w:val="0"/>
            <w:vAlign w:val="center"/>
          </w:tcPr>
          <w:p w14:paraId="41CEF778">
            <w:pPr>
              <w:keepNext w:val="0"/>
              <w:keepLines w:val="0"/>
              <w:pageBreakBefore w:val="0"/>
              <w:widowControl/>
              <w:suppressLineNumbers w:val="0"/>
              <w:kinsoku/>
              <w:wordWrap/>
              <w:overflowPunct/>
              <w:topLinePunct w:val="0"/>
              <w:autoSpaceDE/>
              <w:autoSpaceDN/>
              <w:bidi w:val="0"/>
              <w:adjustRightInd/>
              <w:snapToGrid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初中</w:t>
            </w:r>
          </w:p>
          <w:p w14:paraId="5A9CA3B8">
            <w:pPr>
              <w:keepNext w:val="0"/>
              <w:keepLines w:val="0"/>
              <w:pageBreakBefore w:val="0"/>
              <w:widowControl/>
              <w:suppressLineNumbers w:val="0"/>
              <w:kinsoku/>
              <w:wordWrap/>
              <w:overflowPunct/>
              <w:topLinePunct w:val="0"/>
              <w:autoSpaceDE/>
              <w:autoSpaceDN/>
              <w:bidi w:val="0"/>
              <w:adjustRightInd/>
              <w:snapToGrid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高中</w:t>
            </w:r>
          </w:p>
        </w:tc>
        <w:tc>
          <w:tcPr>
            <w:tcW w:w="1621" w:type="dxa"/>
            <w:shd w:val="clear" w:color="auto" w:fill="auto"/>
            <w:noWrap w:val="0"/>
            <w:vAlign w:val="center"/>
          </w:tcPr>
          <w:p w14:paraId="61FB080B">
            <w:pPr>
              <w:keepNext w:val="0"/>
              <w:keepLines w:val="0"/>
              <w:pageBreakBefore w:val="0"/>
              <w:widowControl/>
              <w:suppressLineNumbers w:val="0"/>
              <w:kinsoku/>
              <w:wordWrap/>
              <w:overflowPunct/>
              <w:topLinePunct w:val="0"/>
              <w:autoSpaceDE/>
              <w:autoSpaceDN/>
              <w:bidi w:val="0"/>
              <w:adjustRightInd/>
              <w:snapToGrid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将所有学生分成3组，轮流进行不同的课程体验</w:t>
            </w:r>
          </w:p>
        </w:tc>
        <w:tc>
          <w:tcPr>
            <w:tcW w:w="2738" w:type="dxa"/>
            <w:shd w:val="clear" w:color="auto" w:fill="auto"/>
            <w:noWrap w:val="0"/>
            <w:vAlign w:val="center"/>
          </w:tcPr>
          <w:p w14:paraId="2FE18287">
            <w:pPr>
              <w:keepNext w:val="0"/>
              <w:keepLines w:val="0"/>
              <w:pageBreakBefore w:val="0"/>
              <w:widowControl/>
              <w:suppressLineNumbers w:val="0"/>
              <w:kinsoku/>
              <w:wordWrap/>
              <w:overflowPunct/>
              <w:topLinePunct w:val="0"/>
              <w:autoSpaceDE/>
              <w:autoSpaceDN/>
              <w:bidi w:val="0"/>
              <w:adjustRightInd/>
              <w:snapToGrid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生物课－扦插和嫁接；生物课-植保与组培；劳动课-扦插、嫁接、植保和组培实践</w:t>
            </w:r>
          </w:p>
        </w:tc>
      </w:tr>
      <w:tr w14:paraId="26A2BE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6" w:hRule="atLeast"/>
          <w:jc w:val="center"/>
        </w:trPr>
        <w:tc>
          <w:tcPr>
            <w:tcW w:w="1106" w:type="dxa"/>
            <w:vMerge w:val="continue"/>
            <w:noWrap w:val="0"/>
            <w:vAlign w:val="center"/>
          </w:tcPr>
          <w:p w14:paraId="673DA62F">
            <w:pPr>
              <w:keepNext w:val="0"/>
              <w:keepLines w:val="0"/>
              <w:pageBreakBefore w:val="0"/>
              <w:widowControl/>
              <w:suppressLineNumbers w:val="0"/>
              <w:kinsoku/>
              <w:wordWrap/>
              <w:overflowPunct/>
              <w:topLinePunct w:val="0"/>
              <w:autoSpaceDE/>
              <w:autoSpaceDN/>
              <w:bidi w:val="0"/>
              <w:adjustRightInd/>
              <w:snapToGrid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p>
        </w:tc>
        <w:tc>
          <w:tcPr>
            <w:tcW w:w="1062" w:type="dxa"/>
            <w:vMerge w:val="restart"/>
            <w:noWrap w:val="0"/>
            <w:vAlign w:val="center"/>
          </w:tcPr>
          <w:p w14:paraId="7A1C755C">
            <w:pPr>
              <w:keepNext w:val="0"/>
              <w:keepLines w:val="0"/>
              <w:pageBreakBefore w:val="0"/>
              <w:widowControl/>
              <w:suppressLineNumbers w:val="0"/>
              <w:kinsoku/>
              <w:wordWrap/>
              <w:overflowPunct/>
              <w:topLinePunct w:val="0"/>
              <w:autoSpaceDE/>
              <w:autoSpaceDN/>
              <w:bidi w:val="0"/>
              <w:adjustRightInd/>
              <w:snapToGrid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3.木薯种植体验主题课程；</w:t>
            </w:r>
          </w:p>
          <w:p w14:paraId="0EFA7696">
            <w:pPr>
              <w:keepNext w:val="0"/>
              <w:keepLines w:val="0"/>
              <w:pageBreakBefore w:val="0"/>
              <w:widowControl/>
              <w:suppressLineNumbers w:val="0"/>
              <w:kinsoku/>
              <w:wordWrap/>
              <w:overflowPunct/>
              <w:topLinePunct w:val="0"/>
              <w:autoSpaceDE/>
              <w:autoSpaceDN/>
              <w:bidi w:val="0"/>
              <w:adjustRightInd/>
              <w:snapToGrid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4.咖啡大讲堂主题课程</w:t>
            </w:r>
          </w:p>
        </w:tc>
        <w:tc>
          <w:tcPr>
            <w:tcW w:w="1447" w:type="dxa"/>
            <w:noWrap w:val="0"/>
            <w:vAlign w:val="center"/>
          </w:tcPr>
          <w:p w14:paraId="74809389">
            <w:pPr>
              <w:keepNext w:val="0"/>
              <w:keepLines w:val="0"/>
              <w:pageBreakBefore w:val="0"/>
              <w:widowControl/>
              <w:suppressLineNumbers w:val="0"/>
              <w:kinsoku/>
              <w:wordWrap/>
              <w:overflowPunct/>
              <w:topLinePunct w:val="0"/>
              <w:autoSpaceDE/>
              <w:autoSpaceDN/>
              <w:bidi w:val="0"/>
              <w:adjustRightInd/>
              <w:snapToGrid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1.木薯种植体验</w:t>
            </w:r>
          </w:p>
          <w:p w14:paraId="06166CE9">
            <w:pPr>
              <w:keepNext w:val="0"/>
              <w:keepLines w:val="0"/>
              <w:pageBreakBefore w:val="0"/>
              <w:widowControl/>
              <w:suppressLineNumbers w:val="0"/>
              <w:kinsoku/>
              <w:wordWrap/>
              <w:overflowPunct/>
              <w:topLinePunct w:val="0"/>
              <w:autoSpaceDE/>
              <w:autoSpaceDN/>
              <w:bidi w:val="0"/>
              <w:adjustRightInd/>
              <w:snapToGrid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2.咖啡种植体验</w:t>
            </w:r>
          </w:p>
        </w:tc>
        <w:tc>
          <w:tcPr>
            <w:tcW w:w="810" w:type="dxa"/>
            <w:noWrap w:val="0"/>
            <w:vAlign w:val="center"/>
          </w:tcPr>
          <w:p w14:paraId="76FACA1E">
            <w:pPr>
              <w:keepNext w:val="0"/>
              <w:keepLines w:val="0"/>
              <w:pageBreakBefore w:val="0"/>
              <w:widowControl/>
              <w:suppressLineNumbers w:val="0"/>
              <w:kinsoku/>
              <w:wordWrap/>
              <w:overflowPunct/>
              <w:topLinePunct w:val="0"/>
              <w:autoSpaceDE/>
              <w:autoSpaceDN/>
              <w:bidi w:val="0"/>
              <w:adjustRightInd/>
              <w:snapToGrid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300</w:t>
            </w:r>
          </w:p>
        </w:tc>
        <w:tc>
          <w:tcPr>
            <w:tcW w:w="774" w:type="dxa"/>
            <w:noWrap w:val="0"/>
            <w:vAlign w:val="center"/>
          </w:tcPr>
          <w:p w14:paraId="6E60C4A8">
            <w:pPr>
              <w:keepNext w:val="0"/>
              <w:keepLines w:val="0"/>
              <w:pageBreakBefore w:val="0"/>
              <w:widowControl/>
              <w:suppressLineNumbers w:val="0"/>
              <w:kinsoku/>
              <w:wordWrap/>
              <w:overflowPunct/>
              <w:topLinePunct w:val="0"/>
              <w:autoSpaceDE/>
              <w:autoSpaceDN/>
              <w:bidi w:val="0"/>
              <w:adjustRightInd/>
              <w:snapToGrid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小学</w:t>
            </w:r>
          </w:p>
          <w:p w14:paraId="6991D648">
            <w:pPr>
              <w:keepNext w:val="0"/>
              <w:keepLines w:val="0"/>
              <w:pageBreakBefore w:val="0"/>
              <w:widowControl/>
              <w:suppressLineNumbers w:val="0"/>
              <w:kinsoku/>
              <w:wordWrap/>
              <w:overflowPunct/>
              <w:topLinePunct w:val="0"/>
              <w:autoSpaceDE/>
              <w:autoSpaceDN/>
              <w:bidi w:val="0"/>
              <w:adjustRightInd/>
              <w:snapToGrid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初中</w:t>
            </w:r>
          </w:p>
          <w:p w14:paraId="32FCA891">
            <w:pPr>
              <w:keepNext w:val="0"/>
              <w:keepLines w:val="0"/>
              <w:pageBreakBefore w:val="0"/>
              <w:widowControl/>
              <w:suppressLineNumbers w:val="0"/>
              <w:kinsoku/>
              <w:wordWrap/>
              <w:overflowPunct/>
              <w:topLinePunct w:val="0"/>
              <w:autoSpaceDE/>
              <w:autoSpaceDN/>
              <w:bidi w:val="0"/>
              <w:adjustRightInd/>
              <w:snapToGrid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高中</w:t>
            </w:r>
          </w:p>
        </w:tc>
        <w:tc>
          <w:tcPr>
            <w:tcW w:w="1621" w:type="dxa"/>
            <w:noWrap w:val="0"/>
            <w:vAlign w:val="center"/>
          </w:tcPr>
          <w:p w14:paraId="051A9492">
            <w:pPr>
              <w:keepNext w:val="0"/>
              <w:keepLines w:val="0"/>
              <w:pageBreakBefore w:val="0"/>
              <w:widowControl/>
              <w:suppressLineNumbers w:val="0"/>
              <w:kinsoku/>
              <w:wordWrap/>
              <w:overflowPunct/>
              <w:topLinePunct w:val="0"/>
              <w:autoSpaceDE/>
              <w:autoSpaceDN/>
              <w:bidi w:val="0"/>
              <w:adjustRightInd/>
              <w:snapToGrid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将所有学生分成2组，轮流进行不同的课程体验</w:t>
            </w:r>
          </w:p>
        </w:tc>
        <w:tc>
          <w:tcPr>
            <w:tcW w:w="2738" w:type="dxa"/>
            <w:noWrap w:val="0"/>
            <w:vAlign w:val="center"/>
          </w:tcPr>
          <w:p w14:paraId="74367D96">
            <w:pPr>
              <w:keepNext w:val="0"/>
              <w:keepLines w:val="0"/>
              <w:pageBreakBefore w:val="0"/>
              <w:widowControl/>
              <w:suppressLineNumbers w:val="0"/>
              <w:kinsoku/>
              <w:wordWrap/>
              <w:overflowPunct/>
              <w:topLinePunct w:val="0"/>
              <w:autoSpaceDE/>
              <w:autoSpaceDN/>
              <w:bidi w:val="0"/>
              <w:adjustRightInd/>
              <w:snapToGrid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科学课-观察植物的生长变化；劳动课-分区种植体验</w:t>
            </w:r>
          </w:p>
        </w:tc>
      </w:tr>
      <w:tr w14:paraId="1FABBF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6" w:hRule="atLeast"/>
          <w:jc w:val="center"/>
        </w:trPr>
        <w:tc>
          <w:tcPr>
            <w:tcW w:w="1106" w:type="dxa"/>
            <w:vMerge w:val="continue"/>
            <w:noWrap w:val="0"/>
            <w:vAlign w:val="center"/>
          </w:tcPr>
          <w:p w14:paraId="4BA5BF6F">
            <w:pPr>
              <w:keepNext w:val="0"/>
              <w:keepLines w:val="0"/>
              <w:pageBreakBefore w:val="0"/>
              <w:widowControl/>
              <w:suppressLineNumbers w:val="0"/>
              <w:kinsoku/>
              <w:wordWrap/>
              <w:overflowPunct/>
              <w:topLinePunct w:val="0"/>
              <w:autoSpaceDE/>
              <w:autoSpaceDN/>
              <w:bidi w:val="0"/>
              <w:adjustRightInd/>
              <w:snapToGrid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p>
        </w:tc>
        <w:tc>
          <w:tcPr>
            <w:tcW w:w="1062" w:type="dxa"/>
            <w:vMerge w:val="continue"/>
            <w:noWrap w:val="0"/>
            <w:vAlign w:val="center"/>
          </w:tcPr>
          <w:p w14:paraId="7DCEE722">
            <w:pPr>
              <w:keepNext w:val="0"/>
              <w:keepLines w:val="0"/>
              <w:pageBreakBefore w:val="0"/>
              <w:widowControl/>
              <w:suppressLineNumbers w:val="0"/>
              <w:kinsoku/>
              <w:wordWrap/>
              <w:overflowPunct/>
              <w:topLinePunct w:val="0"/>
              <w:autoSpaceDE/>
              <w:autoSpaceDN/>
              <w:bidi w:val="0"/>
              <w:adjustRightInd/>
              <w:snapToGrid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p>
        </w:tc>
        <w:tc>
          <w:tcPr>
            <w:tcW w:w="1447" w:type="dxa"/>
            <w:noWrap w:val="0"/>
            <w:vAlign w:val="center"/>
          </w:tcPr>
          <w:p w14:paraId="2379C562">
            <w:pPr>
              <w:keepNext w:val="0"/>
              <w:keepLines w:val="0"/>
              <w:pageBreakBefore w:val="0"/>
              <w:widowControl/>
              <w:suppressLineNumbers w:val="0"/>
              <w:kinsoku/>
              <w:wordWrap/>
              <w:overflowPunct/>
              <w:topLinePunct w:val="0"/>
              <w:autoSpaceDE/>
              <w:autoSpaceDN/>
              <w:bidi w:val="0"/>
              <w:adjustRightInd/>
              <w:snapToGrid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1.木薯丰收节</w:t>
            </w:r>
          </w:p>
          <w:p w14:paraId="7920CD19">
            <w:pPr>
              <w:keepNext w:val="0"/>
              <w:keepLines w:val="0"/>
              <w:pageBreakBefore w:val="0"/>
              <w:widowControl/>
              <w:suppressLineNumbers w:val="0"/>
              <w:kinsoku/>
              <w:wordWrap/>
              <w:overflowPunct/>
              <w:topLinePunct w:val="0"/>
              <w:autoSpaceDE/>
              <w:autoSpaceDN/>
              <w:bidi w:val="0"/>
              <w:adjustRightInd/>
              <w:snapToGrid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2.咖啡丰收节</w:t>
            </w:r>
          </w:p>
        </w:tc>
        <w:tc>
          <w:tcPr>
            <w:tcW w:w="810" w:type="dxa"/>
            <w:noWrap w:val="0"/>
            <w:vAlign w:val="center"/>
          </w:tcPr>
          <w:p w14:paraId="0E6D06BA">
            <w:pPr>
              <w:keepNext w:val="0"/>
              <w:keepLines w:val="0"/>
              <w:pageBreakBefore w:val="0"/>
              <w:widowControl/>
              <w:suppressLineNumbers w:val="0"/>
              <w:kinsoku/>
              <w:wordWrap/>
              <w:overflowPunct/>
              <w:topLinePunct w:val="0"/>
              <w:autoSpaceDE/>
              <w:autoSpaceDN/>
              <w:bidi w:val="0"/>
              <w:adjustRightInd/>
              <w:snapToGrid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300</w:t>
            </w:r>
          </w:p>
        </w:tc>
        <w:tc>
          <w:tcPr>
            <w:tcW w:w="774" w:type="dxa"/>
            <w:noWrap w:val="0"/>
            <w:vAlign w:val="center"/>
          </w:tcPr>
          <w:p w14:paraId="5EE1AF80">
            <w:pPr>
              <w:keepNext w:val="0"/>
              <w:keepLines w:val="0"/>
              <w:pageBreakBefore w:val="0"/>
              <w:widowControl/>
              <w:suppressLineNumbers w:val="0"/>
              <w:kinsoku/>
              <w:wordWrap/>
              <w:overflowPunct/>
              <w:topLinePunct w:val="0"/>
              <w:autoSpaceDE/>
              <w:autoSpaceDN/>
              <w:bidi w:val="0"/>
              <w:adjustRightInd/>
              <w:snapToGrid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小学</w:t>
            </w:r>
          </w:p>
          <w:p w14:paraId="5622AC66">
            <w:pPr>
              <w:keepNext w:val="0"/>
              <w:keepLines w:val="0"/>
              <w:pageBreakBefore w:val="0"/>
              <w:widowControl/>
              <w:suppressLineNumbers w:val="0"/>
              <w:kinsoku/>
              <w:wordWrap/>
              <w:overflowPunct/>
              <w:topLinePunct w:val="0"/>
              <w:autoSpaceDE/>
              <w:autoSpaceDN/>
              <w:bidi w:val="0"/>
              <w:adjustRightInd/>
              <w:snapToGrid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初中</w:t>
            </w:r>
          </w:p>
          <w:p w14:paraId="243E0D32">
            <w:pPr>
              <w:keepNext w:val="0"/>
              <w:keepLines w:val="0"/>
              <w:pageBreakBefore w:val="0"/>
              <w:widowControl/>
              <w:suppressLineNumbers w:val="0"/>
              <w:kinsoku/>
              <w:wordWrap/>
              <w:overflowPunct/>
              <w:topLinePunct w:val="0"/>
              <w:autoSpaceDE/>
              <w:autoSpaceDN/>
              <w:bidi w:val="0"/>
              <w:adjustRightInd/>
              <w:snapToGrid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高中</w:t>
            </w:r>
          </w:p>
        </w:tc>
        <w:tc>
          <w:tcPr>
            <w:tcW w:w="1621" w:type="dxa"/>
            <w:noWrap w:val="0"/>
            <w:vAlign w:val="center"/>
          </w:tcPr>
          <w:p w14:paraId="361BA14F">
            <w:pPr>
              <w:keepNext w:val="0"/>
              <w:keepLines w:val="0"/>
              <w:pageBreakBefore w:val="0"/>
              <w:widowControl/>
              <w:suppressLineNumbers w:val="0"/>
              <w:kinsoku/>
              <w:wordWrap/>
              <w:overflowPunct/>
              <w:topLinePunct w:val="0"/>
              <w:autoSpaceDE/>
              <w:autoSpaceDN/>
              <w:bidi w:val="0"/>
              <w:adjustRightInd/>
              <w:snapToGrid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将所有学生分成3组，轮流进行不同的课程体验</w:t>
            </w:r>
          </w:p>
        </w:tc>
        <w:tc>
          <w:tcPr>
            <w:tcW w:w="2738" w:type="dxa"/>
            <w:noWrap w:val="0"/>
            <w:vAlign w:val="center"/>
          </w:tcPr>
          <w:p w14:paraId="1F7E03B1">
            <w:pPr>
              <w:keepNext w:val="0"/>
              <w:keepLines w:val="0"/>
              <w:pageBreakBefore w:val="0"/>
              <w:widowControl/>
              <w:suppressLineNumbers w:val="0"/>
              <w:kinsoku/>
              <w:wordWrap/>
              <w:overflowPunct/>
              <w:topLinePunct w:val="0"/>
              <w:autoSpaceDE/>
              <w:autoSpaceDN/>
              <w:bidi w:val="0"/>
              <w:adjustRightInd/>
              <w:snapToGrid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科学课-观察一株成熟植物的不同部位；劳动课-采摘果实体验；烹饪课-将采摘的果实制作成美食品尝</w:t>
            </w:r>
          </w:p>
        </w:tc>
      </w:tr>
      <w:tr w14:paraId="5F9837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6" w:hRule="atLeast"/>
          <w:jc w:val="center"/>
        </w:trPr>
        <w:tc>
          <w:tcPr>
            <w:tcW w:w="1106" w:type="dxa"/>
            <w:vMerge w:val="restart"/>
            <w:noWrap w:val="0"/>
            <w:vAlign w:val="center"/>
          </w:tcPr>
          <w:p w14:paraId="46A03461">
            <w:pPr>
              <w:keepNext w:val="0"/>
              <w:keepLines w:val="0"/>
              <w:pageBreakBefore w:val="0"/>
              <w:widowControl/>
              <w:suppressLineNumbers w:val="0"/>
              <w:kinsoku/>
              <w:wordWrap/>
              <w:overflowPunct/>
              <w:topLinePunct w:val="0"/>
              <w:autoSpaceDE/>
              <w:autoSpaceDN/>
              <w:bidi w:val="0"/>
              <w:adjustRightInd/>
              <w:snapToGrid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传统工艺制作</w:t>
            </w:r>
          </w:p>
          <w:p w14:paraId="174B8D85">
            <w:pPr>
              <w:keepNext w:val="0"/>
              <w:keepLines w:val="0"/>
              <w:pageBreakBefore w:val="0"/>
              <w:widowControl/>
              <w:suppressLineNumbers w:val="0"/>
              <w:kinsoku/>
              <w:wordWrap/>
              <w:overflowPunct/>
              <w:topLinePunct w:val="0"/>
              <w:autoSpaceDE/>
              <w:autoSpaceDN/>
              <w:bidi w:val="0"/>
              <w:adjustRightInd/>
              <w:snapToGrid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p>
        </w:tc>
        <w:tc>
          <w:tcPr>
            <w:tcW w:w="1062" w:type="dxa"/>
            <w:noWrap w:val="0"/>
            <w:vAlign w:val="center"/>
          </w:tcPr>
          <w:p w14:paraId="1B20B2E7">
            <w:pPr>
              <w:keepNext w:val="0"/>
              <w:keepLines w:val="0"/>
              <w:pageBreakBefore w:val="0"/>
              <w:widowControl/>
              <w:suppressLineNumbers w:val="0"/>
              <w:kinsoku/>
              <w:wordWrap/>
              <w:overflowPunct/>
              <w:topLinePunct w:val="0"/>
              <w:autoSpaceDE/>
              <w:autoSpaceDN/>
              <w:bidi w:val="0"/>
              <w:adjustRightInd/>
              <w:snapToGrid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5.“一草定绚烂”——多彩植物染布</w:t>
            </w:r>
          </w:p>
        </w:tc>
        <w:tc>
          <w:tcPr>
            <w:tcW w:w="1447" w:type="dxa"/>
            <w:noWrap w:val="0"/>
            <w:vAlign w:val="center"/>
          </w:tcPr>
          <w:p w14:paraId="62E769DD">
            <w:pPr>
              <w:keepNext w:val="0"/>
              <w:keepLines w:val="0"/>
              <w:pageBreakBefore w:val="0"/>
              <w:widowControl/>
              <w:suppressLineNumbers w:val="0"/>
              <w:kinsoku/>
              <w:wordWrap/>
              <w:overflowPunct/>
              <w:topLinePunct w:val="0"/>
              <w:autoSpaceDE/>
              <w:autoSpaceDN/>
              <w:bidi w:val="0"/>
              <w:adjustRightInd/>
              <w:snapToGrid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1.植物染布</w:t>
            </w:r>
          </w:p>
          <w:p w14:paraId="3F1549F5">
            <w:pPr>
              <w:keepNext w:val="0"/>
              <w:keepLines w:val="0"/>
              <w:pageBreakBefore w:val="0"/>
              <w:widowControl/>
              <w:suppressLineNumbers w:val="0"/>
              <w:kinsoku/>
              <w:wordWrap/>
              <w:overflowPunct/>
              <w:topLinePunct w:val="0"/>
              <w:autoSpaceDE/>
              <w:autoSpaceDN/>
              <w:bidi w:val="0"/>
              <w:adjustRightInd/>
              <w:snapToGrid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2.植物拓印</w:t>
            </w:r>
          </w:p>
          <w:p w14:paraId="5AFC2C81">
            <w:pPr>
              <w:keepNext w:val="0"/>
              <w:keepLines w:val="0"/>
              <w:pageBreakBefore w:val="0"/>
              <w:widowControl/>
              <w:suppressLineNumbers w:val="0"/>
              <w:kinsoku/>
              <w:wordWrap/>
              <w:overflowPunct/>
              <w:topLinePunct w:val="0"/>
              <w:autoSpaceDE/>
              <w:autoSpaceDN/>
              <w:bidi w:val="0"/>
              <w:adjustRightInd/>
              <w:snapToGrid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3.植物色素提取</w:t>
            </w:r>
          </w:p>
          <w:p w14:paraId="2302CA8B">
            <w:pPr>
              <w:keepNext w:val="0"/>
              <w:keepLines w:val="0"/>
              <w:pageBreakBefore w:val="0"/>
              <w:widowControl/>
              <w:suppressLineNumbers w:val="0"/>
              <w:kinsoku/>
              <w:wordWrap/>
              <w:overflowPunct/>
              <w:topLinePunct w:val="0"/>
              <w:autoSpaceDE/>
              <w:autoSpaceDN/>
              <w:bidi w:val="0"/>
              <w:adjustRightInd/>
              <w:snapToGrid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4.植物色素食品制作</w:t>
            </w:r>
          </w:p>
        </w:tc>
        <w:tc>
          <w:tcPr>
            <w:tcW w:w="810" w:type="dxa"/>
            <w:noWrap w:val="0"/>
            <w:vAlign w:val="center"/>
          </w:tcPr>
          <w:p w14:paraId="6C40ABCD">
            <w:pPr>
              <w:keepNext w:val="0"/>
              <w:keepLines w:val="0"/>
              <w:pageBreakBefore w:val="0"/>
              <w:widowControl/>
              <w:suppressLineNumbers w:val="0"/>
              <w:kinsoku/>
              <w:wordWrap/>
              <w:overflowPunct/>
              <w:topLinePunct w:val="0"/>
              <w:autoSpaceDE/>
              <w:autoSpaceDN/>
              <w:bidi w:val="0"/>
              <w:adjustRightInd/>
              <w:snapToGrid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300</w:t>
            </w:r>
          </w:p>
        </w:tc>
        <w:tc>
          <w:tcPr>
            <w:tcW w:w="774" w:type="dxa"/>
            <w:noWrap w:val="0"/>
            <w:vAlign w:val="center"/>
          </w:tcPr>
          <w:p w14:paraId="5A373669">
            <w:pPr>
              <w:keepNext w:val="0"/>
              <w:keepLines w:val="0"/>
              <w:pageBreakBefore w:val="0"/>
              <w:widowControl/>
              <w:suppressLineNumbers w:val="0"/>
              <w:kinsoku/>
              <w:wordWrap/>
              <w:overflowPunct/>
              <w:topLinePunct w:val="0"/>
              <w:autoSpaceDE/>
              <w:autoSpaceDN/>
              <w:bidi w:val="0"/>
              <w:adjustRightInd/>
              <w:snapToGrid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小学</w:t>
            </w:r>
          </w:p>
          <w:p w14:paraId="0D28636E">
            <w:pPr>
              <w:keepNext w:val="0"/>
              <w:keepLines w:val="0"/>
              <w:pageBreakBefore w:val="0"/>
              <w:widowControl/>
              <w:suppressLineNumbers w:val="0"/>
              <w:kinsoku/>
              <w:wordWrap/>
              <w:overflowPunct/>
              <w:topLinePunct w:val="0"/>
              <w:autoSpaceDE/>
              <w:autoSpaceDN/>
              <w:bidi w:val="0"/>
              <w:adjustRightInd/>
              <w:snapToGrid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初中</w:t>
            </w:r>
          </w:p>
          <w:p w14:paraId="71DE4852">
            <w:pPr>
              <w:keepNext w:val="0"/>
              <w:keepLines w:val="0"/>
              <w:pageBreakBefore w:val="0"/>
              <w:widowControl/>
              <w:suppressLineNumbers w:val="0"/>
              <w:kinsoku/>
              <w:wordWrap/>
              <w:overflowPunct/>
              <w:topLinePunct w:val="0"/>
              <w:autoSpaceDE/>
              <w:autoSpaceDN/>
              <w:bidi w:val="0"/>
              <w:adjustRightInd/>
              <w:snapToGrid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高中</w:t>
            </w:r>
          </w:p>
        </w:tc>
        <w:tc>
          <w:tcPr>
            <w:tcW w:w="1621" w:type="dxa"/>
            <w:noWrap w:val="0"/>
            <w:vAlign w:val="center"/>
          </w:tcPr>
          <w:p w14:paraId="70059DE0">
            <w:pPr>
              <w:keepNext w:val="0"/>
              <w:keepLines w:val="0"/>
              <w:pageBreakBefore w:val="0"/>
              <w:widowControl/>
              <w:suppressLineNumbers w:val="0"/>
              <w:kinsoku/>
              <w:wordWrap/>
              <w:overflowPunct/>
              <w:topLinePunct w:val="0"/>
              <w:autoSpaceDE/>
              <w:autoSpaceDN/>
              <w:bidi w:val="0"/>
              <w:adjustRightInd/>
              <w:snapToGrid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将所有学生分成5组，轮流进行不同的课程体验</w:t>
            </w:r>
          </w:p>
        </w:tc>
        <w:tc>
          <w:tcPr>
            <w:tcW w:w="2738" w:type="dxa"/>
            <w:noWrap w:val="0"/>
            <w:vAlign w:val="center"/>
          </w:tcPr>
          <w:p w14:paraId="2E1D5751">
            <w:pPr>
              <w:keepNext w:val="0"/>
              <w:keepLines w:val="0"/>
              <w:pageBreakBefore w:val="0"/>
              <w:widowControl/>
              <w:suppressLineNumbers w:val="0"/>
              <w:kinsoku/>
              <w:wordWrap/>
              <w:overflowPunct/>
              <w:topLinePunct w:val="0"/>
              <w:autoSpaceDE/>
              <w:autoSpaceDN/>
              <w:bidi w:val="0"/>
              <w:adjustRightInd/>
              <w:snapToGrid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地理课－不同地区的植物分布和特点；生物课－植物的生长习性；化学课－染料的提取、合成和应用；劳动课－植物采摘、传统染布工艺体验等；历史课-植物染的起源与早期发展、丝绸之路与文化交流</w:t>
            </w:r>
          </w:p>
        </w:tc>
      </w:tr>
      <w:tr w14:paraId="41597A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58" w:hRule="atLeast"/>
          <w:jc w:val="center"/>
        </w:trPr>
        <w:tc>
          <w:tcPr>
            <w:tcW w:w="1106" w:type="dxa"/>
            <w:vMerge w:val="continue"/>
            <w:noWrap w:val="0"/>
            <w:vAlign w:val="center"/>
          </w:tcPr>
          <w:p w14:paraId="1C935E7F">
            <w:pPr>
              <w:keepNext w:val="0"/>
              <w:keepLines w:val="0"/>
              <w:pageBreakBefore w:val="0"/>
              <w:widowControl/>
              <w:suppressLineNumbers w:val="0"/>
              <w:kinsoku/>
              <w:wordWrap/>
              <w:overflowPunct/>
              <w:topLinePunct w:val="0"/>
              <w:autoSpaceDE/>
              <w:autoSpaceDN/>
              <w:bidi w:val="0"/>
              <w:adjustRightInd/>
              <w:snapToGrid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p>
        </w:tc>
        <w:tc>
          <w:tcPr>
            <w:tcW w:w="1062" w:type="dxa"/>
            <w:noWrap w:val="0"/>
            <w:vAlign w:val="center"/>
          </w:tcPr>
          <w:p w14:paraId="3EAB5EE4">
            <w:pPr>
              <w:keepNext w:val="0"/>
              <w:keepLines w:val="0"/>
              <w:pageBreakBefore w:val="0"/>
              <w:widowControl/>
              <w:suppressLineNumbers w:val="0"/>
              <w:kinsoku/>
              <w:wordWrap/>
              <w:overflowPunct/>
              <w:topLinePunct w:val="0"/>
              <w:autoSpaceDE/>
              <w:autoSpaceDN/>
              <w:bidi w:val="0"/>
              <w:adjustRightInd/>
              <w:snapToGrid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6.木板上的创意主题课程</w:t>
            </w:r>
          </w:p>
        </w:tc>
        <w:tc>
          <w:tcPr>
            <w:tcW w:w="1447" w:type="dxa"/>
            <w:noWrap w:val="0"/>
            <w:vAlign w:val="center"/>
          </w:tcPr>
          <w:p w14:paraId="22E22782">
            <w:pPr>
              <w:keepNext w:val="0"/>
              <w:keepLines w:val="0"/>
              <w:pageBreakBefore w:val="0"/>
              <w:widowControl/>
              <w:suppressLineNumbers w:val="0"/>
              <w:kinsoku/>
              <w:wordWrap/>
              <w:overflowPunct/>
              <w:topLinePunct w:val="0"/>
              <w:autoSpaceDE/>
              <w:autoSpaceDN/>
              <w:bidi w:val="0"/>
              <w:adjustRightInd/>
              <w:snapToGrid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1.木板上的创意</w:t>
            </w:r>
          </w:p>
          <w:p w14:paraId="182754EB">
            <w:pPr>
              <w:keepNext w:val="0"/>
              <w:keepLines w:val="0"/>
              <w:pageBreakBefore w:val="0"/>
              <w:widowControl/>
              <w:suppressLineNumbers w:val="0"/>
              <w:kinsoku/>
              <w:wordWrap/>
              <w:overflowPunct/>
              <w:topLinePunct w:val="0"/>
              <w:autoSpaceDE/>
              <w:autoSpaceDN/>
              <w:bidi w:val="0"/>
              <w:adjustRightInd/>
              <w:snapToGrid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2.压花艺术</w:t>
            </w:r>
          </w:p>
          <w:p w14:paraId="53ED1139">
            <w:pPr>
              <w:keepNext w:val="0"/>
              <w:keepLines w:val="0"/>
              <w:pageBreakBefore w:val="0"/>
              <w:widowControl/>
              <w:suppressLineNumbers w:val="0"/>
              <w:kinsoku/>
              <w:wordWrap/>
              <w:overflowPunct/>
              <w:topLinePunct w:val="0"/>
              <w:autoSpaceDE/>
              <w:autoSpaceDN/>
              <w:bidi w:val="0"/>
              <w:adjustRightInd/>
              <w:snapToGrid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3.竹编艺术</w:t>
            </w:r>
          </w:p>
        </w:tc>
        <w:tc>
          <w:tcPr>
            <w:tcW w:w="810" w:type="dxa"/>
            <w:noWrap w:val="0"/>
            <w:vAlign w:val="center"/>
          </w:tcPr>
          <w:p w14:paraId="749CF8E3">
            <w:pPr>
              <w:keepNext w:val="0"/>
              <w:keepLines w:val="0"/>
              <w:pageBreakBefore w:val="0"/>
              <w:widowControl/>
              <w:suppressLineNumbers w:val="0"/>
              <w:kinsoku/>
              <w:wordWrap/>
              <w:overflowPunct/>
              <w:topLinePunct w:val="0"/>
              <w:autoSpaceDE/>
              <w:autoSpaceDN/>
              <w:bidi w:val="0"/>
              <w:adjustRightInd/>
              <w:snapToGrid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300</w:t>
            </w:r>
          </w:p>
        </w:tc>
        <w:tc>
          <w:tcPr>
            <w:tcW w:w="774" w:type="dxa"/>
            <w:noWrap w:val="0"/>
            <w:vAlign w:val="center"/>
          </w:tcPr>
          <w:p w14:paraId="69A9A5BE">
            <w:pPr>
              <w:keepNext w:val="0"/>
              <w:keepLines w:val="0"/>
              <w:pageBreakBefore w:val="0"/>
              <w:widowControl/>
              <w:suppressLineNumbers w:val="0"/>
              <w:kinsoku/>
              <w:wordWrap/>
              <w:overflowPunct/>
              <w:topLinePunct w:val="0"/>
              <w:autoSpaceDE/>
              <w:autoSpaceDN/>
              <w:bidi w:val="0"/>
              <w:adjustRightInd/>
              <w:snapToGrid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初中</w:t>
            </w:r>
          </w:p>
          <w:p w14:paraId="2E96C39F">
            <w:pPr>
              <w:keepNext w:val="0"/>
              <w:keepLines w:val="0"/>
              <w:pageBreakBefore w:val="0"/>
              <w:widowControl/>
              <w:suppressLineNumbers w:val="0"/>
              <w:kinsoku/>
              <w:wordWrap/>
              <w:overflowPunct/>
              <w:topLinePunct w:val="0"/>
              <w:autoSpaceDE/>
              <w:autoSpaceDN/>
              <w:bidi w:val="0"/>
              <w:adjustRightInd/>
              <w:snapToGrid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高中</w:t>
            </w:r>
          </w:p>
        </w:tc>
        <w:tc>
          <w:tcPr>
            <w:tcW w:w="1621" w:type="dxa"/>
            <w:noWrap w:val="0"/>
            <w:vAlign w:val="center"/>
          </w:tcPr>
          <w:p w14:paraId="32305416">
            <w:pPr>
              <w:keepNext w:val="0"/>
              <w:keepLines w:val="0"/>
              <w:pageBreakBefore w:val="0"/>
              <w:widowControl/>
              <w:suppressLineNumbers w:val="0"/>
              <w:kinsoku/>
              <w:wordWrap/>
              <w:overflowPunct/>
              <w:topLinePunct w:val="0"/>
              <w:autoSpaceDE/>
              <w:autoSpaceDN/>
              <w:bidi w:val="0"/>
              <w:adjustRightInd/>
              <w:snapToGrid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将所有学生分成3组，轮流进行不同的课程体验</w:t>
            </w:r>
          </w:p>
        </w:tc>
        <w:tc>
          <w:tcPr>
            <w:tcW w:w="2738" w:type="dxa"/>
            <w:noWrap w:val="0"/>
            <w:vAlign w:val="center"/>
          </w:tcPr>
          <w:p w14:paraId="0E296A15">
            <w:pPr>
              <w:keepNext w:val="0"/>
              <w:keepLines w:val="0"/>
              <w:pageBreakBefore w:val="0"/>
              <w:widowControl/>
              <w:suppressLineNumbers w:val="0"/>
              <w:kinsoku/>
              <w:wordWrap/>
              <w:overflowPunct/>
              <w:topLinePunct w:val="0"/>
              <w:autoSpaceDE/>
              <w:autoSpaceDN/>
              <w:bidi w:val="0"/>
              <w:adjustRightInd/>
              <w:snapToGrid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劳动课－木工操作技巧；生物课－树木基本知识；艺术课－木工、压花、竹编艺术设计与制作</w:t>
            </w:r>
          </w:p>
        </w:tc>
      </w:tr>
      <w:tr w14:paraId="477B4A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8" w:hRule="atLeast"/>
          <w:jc w:val="center"/>
        </w:trPr>
        <w:tc>
          <w:tcPr>
            <w:tcW w:w="1106" w:type="dxa"/>
            <w:noWrap w:val="0"/>
            <w:vAlign w:val="center"/>
          </w:tcPr>
          <w:p w14:paraId="2234D2A1">
            <w:pPr>
              <w:keepNext w:val="0"/>
              <w:keepLines w:val="0"/>
              <w:pageBreakBefore w:val="0"/>
              <w:widowControl/>
              <w:suppressLineNumbers w:val="0"/>
              <w:kinsoku/>
              <w:wordWrap/>
              <w:overflowPunct/>
              <w:topLinePunct w:val="0"/>
              <w:autoSpaceDE/>
              <w:autoSpaceDN/>
              <w:bidi w:val="0"/>
              <w:adjustRightInd/>
              <w:snapToGrid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现代服务业劳动</w:t>
            </w:r>
          </w:p>
        </w:tc>
        <w:tc>
          <w:tcPr>
            <w:tcW w:w="1062" w:type="dxa"/>
            <w:noWrap w:val="0"/>
            <w:vAlign w:val="center"/>
          </w:tcPr>
          <w:p w14:paraId="352D3252">
            <w:pPr>
              <w:keepNext w:val="0"/>
              <w:keepLines w:val="0"/>
              <w:pageBreakBefore w:val="0"/>
              <w:widowControl/>
              <w:suppressLineNumbers w:val="0"/>
              <w:kinsoku/>
              <w:wordWrap/>
              <w:overflowPunct/>
              <w:topLinePunct w:val="0"/>
              <w:autoSpaceDE/>
              <w:autoSpaceDN/>
              <w:bidi w:val="0"/>
              <w:adjustRightInd/>
              <w:snapToGrid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7.护绿小使者主题课程</w:t>
            </w:r>
          </w:p>
        </w:tc>
        <w:tc>
          <w:tcPr>
            <w:tcW w:w="1447" w:type="dxa"/>
            <w:noWrap w:val="0"/>
            <w:vAlign w:val="center"/>
          </w:tcPr>
          <w:p w14:paraId="6620DA47">
            <w:pPr>
              <w:keepNext w:val="0"/>
              <w:keepLines w:val="0"/>
              <w:pageBreakBefore w:val="0"/>
              <w:widowControl/>
              <w:suppressLineNumbers w:val="0"/>
              <w:kinsoku/>
              <w:wordWrap/>
              <w:overflowPunct/>
              <w:topLinePunct w:val="0"/>
              <w:autoSpaceDE/>
              <w:autoSpaceDN/>
              <w:bidi w:val="0"/>
              <w:adjustRightInd/>
              <w:snapToGrid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1.培养科普讲解员</w:t>
            </w:r>
          </w:p>
          <w:p w14:paraId="0E8540DF">
            <w:pPr>
              <w:keepNext w:val="0"/>
              <w:keepLines w:val="0"/>
              <w:pageBreakBefore w:val="0"/>
              <w:widowControl/>
              <w:suppressLineNumbers w:val="0"/>
              <w:kinsoku/>
              <w:wordWrap/>
              <w:overflowPunct/>
              <w:topLinePunct w:val="0"/>
              <w:autoSpaceDE/>
              <w:autoSpaceDN/>
              <w:bidi w:val="0"/>
              <w:adjustRightInd/>
              <w:snapToGrid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2.科普工作体验日</w:t>
            </w:r>
          </w:p>
          <w:p w14:paraId="3BCD5786">
            <w:pPr>
              <w:keepNext w:val="0"/>
              <w:keepLines w:val="0"/>
              <w:pageBreakBefore w:val="0"/>
              <w:widowControl/>
              <w:suppressLineNumbers w:val="0"/>
              <w:kinsoku/>
              <w:wordWrap/>
              <w:overflowPunct/>
              <w:topLinePunct w:val="0"/>
              <w:autoSpaceDE/>
              <w:autoSpaceDN/>
              <w:bidi w:val="0"/>
              <w:adjustRightInd/>
              <w:snapToGrid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3.植物园文创产品设计</w:t>
            </w:r>
          </w:p>
        </w:tc>
        <w:tc>
          <w:tcPr>
            <w:tcW w:w="810" w:type="dxa"/>
            <w:noWrap w:val="0"/>
            <w:vAlign w:val="center"/>
          </w:tcPr>
          <w:p w14:paraId="308505CA">
            <w:pPr>
              <w:keepNext w:val="0"/>
              <w:keepLines w:val="0"/>
              <w:pageBreakBefore w:val="0"/>
              <w:widowControl/>
              <w:suppressLineNumbers w:val="0"/>
              <w:kinsoku/>
              <w:wordWrap/>
              <w:overflowPunct/>
              <w:topLinePunct w:val="0"/>
              <w:autoSpaceDE/>
              <w:autoSpaceDN/>
              <w:bidi w:val="0"/>
              <w:adjustRightInd/>
              <w:snapToGrid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300</w:t>
            </w:r>
          </w:p>
        </w:tc>
        <w:tc>
          <w:tcPr>
            <w:tcW w:w="774" w:type="dxa"/>
            <w:noWrap w:val="0"/>
            <w:vAlign w:val="center"/>
          </w:tcPr>
          <w:p w14:paraId="4C0C56D6">
            <w:pPr>
              <w:keepNext w:val="0"/>
              <w:keepLines w:val="0"/>
              <w:pageBreakBefore w:val="0"/>
              <w:widowControl/>
              <w:suppressLineNumbers w:val="0"/>
              <w:kinsoku/>
              <w:wordWrap/>
              <w:overflowPunct/>
              <w:topLinePunct w:val="0"/>
              <w:autoSpaceDE/>
              <w:autoSpaceDN/>
              <w:bidi w:val="0"/>
              <w:adjustRightInd/>
              <w:snapToGrid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小学</w:t>
            </w:r>
          </w:p>
          <w:p w14:paraId="08DDD319">
            <w:pPr>
              <w:keepNext w:val="0"/>
              <w:keepLines w:val="0"/>
              <w:pageBreakBefore w:val="0"/>
              <w:widowControl/>
              <w:suppressLineNumbers w:val="0"/>
              <w:kinsoku/>
              <w:wordWrap/>
              <w:overflowPunct/>
              <w:topLinePunct w:val="0"/>
              <w:autoSpaceDE/>
              <w:autoSpaceDN/>
              <w:bidi w:val="0"/>
              <w:adjustRightInd/>
              <w:snapToGrid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初中</w:t>
            </w:r>
          </w:p>
          <w:p w14:paraId="665DE0B7">
            <w:pPr>
              <w:keepNext w:val="0"/>
              <w:keepLines w:val="0"/>
              <w:pageBreakBefore w:val="0"/>
              <w:widowControl/>
              <w:suppressLineNumbers w:val="0"/>
              <w:kinsoku/>
              <w:wordWrap/>
              <w:overflowPunct/>
              <w:topLinePunct w:val="0"/>
              <w:autoSpaceDE/>
              <w:autoSpaceDN/>
              <w:bidi w:val="0"/>
              <w:adjustRightInd/>
              <w:snapToGrid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高中</w:t>
            </w:r>
          </w:p>
        </w:tc>
        <w:tc>
          <w:tcPr>
            <w:tcW w:w="1621" w:type="dxa"/>
            <w:noWrap w:val="0"/>
            <w:vAlign w:val="center"/>
          </w:tcPr>
          <w:p w14:paraId="7600E8F1">
            <w:pPr>
              <w:keepNext w:val="0"/>
              <w:keepLines w:val="0"/>
              <w:pageBreakBefore w:val="0"/>
              <w:widowControl/>
              <w:suppressLineNumbers w:val="0"/>
              <w:kinsoku/>
              <w:wordWrap/>
              <w:overflowPunct/>
              <w:topLinePunct w:val="0"/>
              <w:autoSpaceDE/>
              <w:autoSpaceDN/>
              <w:bidi w:val="0"/>
              <w:adjustRightInd/>
              <w:snapToGrid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将所有学生分成3组，轮流进行不同的课程体验</w:t>
            </w:r>
          </w:p>
        </w:tc>
        <w:tc>
          <w:tcPr>
            <w:tcW w:w="2738" w:type="dxa"/>
            <w:noWrap w:val="0"/>
            <w:vAlign w:val="center"/>
          </w:tcPr>
          <w:p w14:paraId="09165D2B">
            <w:pPr>
              <w:keepNext w:val="0"/>
              <w:keepLines w:val="0"/>
              <w:pageBreakBefore w:val="0"/>
              <w:widowControl/>
              <w:suppressLineNumbers w:val="0"/>
              <w:kinsoku/>
              <w:wordWrap/>
              <w:overflowPunct/>
              <w:topLinePunct w:val="0"/>
              <w:autoSpaceDE/>
              <w:autoSpaceDN/>
              <w:bidi w:val="0"/>
              <w:adjustRightInd/>
              <w:snapToGrid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语文课-如何成为专业科普讲解员；劳动课－一日科普讲解体验；艺术课-文创产品创意设计</w:t>
            </w:r>
          </w:p>
        </w:tc>
      </w:tr>
      <w:tr w14:paraId="65E098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18" w:hRule="atLeast"/>
          <w:jc w:val="center"/>
        </w:trPr>
        <w:tc>
          <w:tcPr>
            <w:tcW w:w="1106" w:type="dxa"/>
            <w:noWrap w:val="0"/>
            <w:vAlign w:val="center"/>
          </w:tcPr>
          <w:p w14:paraId="7F835AAC">
            <w:pPr>
              <w:keepNext w:val="0"/>
              <w:keepLines w:val="0"/>
              <w:pageBreakBefore w:val="0"/>
              <w:widowControl/>
              <w:suppressLineNumbers w:val="0"/>
              <w:kinsoku/>
              <w:wordWrap/>
              <w:overflowPunct/>
              <w:topLinePunct w:val="0"/>
              <w:autoSpaceDE/>
              <w:autoSpaceDN/>
              <w:bidi w:val="0"/>
              <w:adjustRightInd/>
              <w:snapToGrid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公益劳动与志愿服务</w:t>
            </w:r>
          </w:p>
        </w:tc>
        <w:tc>
          <w:tcPr>
            <w:tcW w:w="1062" w:type="dxa"/>
            <w:noWrap w:val="0"/>
            <w:vAlign w:val="center"/>
          </w:tcPr>
          <w:p w14:paraId="40CE8CCD">
            <w:pPr>
              <w:keepNext w:val="0"/>
              <w:keepLines w:val="0"/>
              <w:pageBreakBefore w:val="0"/>
              <w:widowControl/>
              <w:suppressLineNumbers w:val="0"/>
              <w:kinsoku/>
              <w:wordWrap/>
              <w:overflowPunct/>
              <w:topLinePunct w:val="0"/>
              <w:autoSpaceDE/>
              <w:autoSpaceDN/>
              <w:bidi w:val="0"/>
              <w:adjustRightInd/>
              <w:snapToGrid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8.园区大扫除主题课程</w:t>
            </w:r>
          </w:p>
        </w:tc>
        <w:tc>
          <w:tcPr>
            <w:tcW w:w="1447" w:type="dxa"/>
            <w:noWrap w:val="0"/>
            <w:vAlign w:val="center"/>
          </w:tcPr>
          <w:p w14:paraId="19B11DED">
            <w:pPr>
              <w:keepNext w:val="0"/>
              <w:keepLines w:val="0"/>
              <w:pageBreakBefore w:val="0"/>
              <w:widowControl/>
              <w:suppressLineNumbers w:val="0"/>
              <w:kinsoku/>
              <w:wordWrap/>
              <w:overflowPunct/>
              <w:topLinePunct w:val="0"/>
              <w:autoSpaceDE/>
              <w:autoSpaceDN/>
              <w:bidi w:val="0"/>
              <w:adjustRightInd/>
              <w:snapToGrid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1.学习垃圾分类知识</w:t>
            </w:r>
          </w:p>
          <w:p w14:paraId="05B426C4">
            <w:pPr>
              <w:keepNext w:val="0"/>
              <w:keepLines w:val="0"/>
              <w:pageBreakBefore w:val="0"/>
              <w:widowControl/>
              <w:suppressLineNumbers w:val="0"/>
              <w:kinsoku/>
              <w:wordWrap/>
              <w:overflowPunct/>
              <w:topLinePunct w:val="0"/>
              <w:autoSpaceDE/>
              <w:autoSpaceDN/>
              <w:bidi w:val="0"/>
              <w:adjustRightInd/>
              <w:snapToGrid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2.学习垃圾处理方法</w:t>
            </w:r>
          </w:p>
          <w:p w14:paraId="330CED20">
            <w:pPr>
              <w:keepNext w:val="0"/>
              <w:keepLines w:val="0"/>
              <w:pageBreakBefore w:val="0"/>
              <w:widowControl/>
              <w:suppressLineNumbers w:val="0"/>
              <w:kinsoku/>
              <w:wordWrap/>
              <w:overflowPunct/>
              <w:topLinePunct w:val="0"/>
              <w:autoSpaceDE/>
              <w:autoSpaceDN/>
              <w:bidi w:val="0"/>
              <w:adjustRightInd/>
              <w:snapToGrid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3.清理植物园的垃圾</w:t>
            </w:r>
          </w:p>
        </w:tc>
        <w:tc>
          <w:tcPr>
            <w:tcW w:w="810" w:type="dxa"/>
            <w:noWrap w:val="0"/>
            <w:vAlign w:val="center"/>
          </w:tcPr>
          <w:p w14:paraId="6E2B2572">
            <w:pPr>
              <w:keepNext w:val="0"/>
              <w:keepLines w:val="0"/>
              <w:pageBreakBefore w:val="0"/>
              <w:widowControl/>
              <w:suppressLineNumbers w:val="0"/>
              <w:kinsoku/>
              <w:wordWrap/>
              <w:overflowPunct/>
              <w:topLinePunct w:val="0"/>
              <w:autoSpaceDE/>
              <w:autoSpaceDN/>
              <w:bidi w:val="0"/>
              <w:adjustRightInd/>
              <w:snapToGrid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300</w:t>
            </w:r>
          </w:p>
        </w:tc>
        <w:tc>
          <w:tcPr>
            <w:tcW w:w="774" w:type="dxa"/>
            <w:noWrap w:val="0"/>
            <w:vAlign w:val="center"/>
          </w:tcPr>
          <w:p w14:paraId="1F0277D3">
            <w:pPr>
              <w:keepNext w:val="0"/>
              <w:keepLines w:val="0"/>
              <w:pageBreakBefore w:val="0"/>
              <w:widowControl/>
              <w:suppressLineNumbers w:val="0"/>
              <w:kinsoku/>
              <w:wordWrap/>
              <w:overflowPunct/>
              <w:topLinePunct w:val="0"/>
              <w:autoSpaceDE/>
              <w:autoSpaceDN/>
              <w:bidi w:val="0"/>
              <w:adjustRightInd/>
              <w:snapToGrid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小学</w:t>
            </w:r>
          </w:p>
          <w:p w14:paraId="3FCF8449">
            <w:pPr>
              <w:keepNext w:val="0"/>
              <w:keepLines w:val="0"/>
              <w:pageBreakBefore w:val="0"/>
              <w:widowControl/>
              <w:suppressLineNumbers w:val="0"/>
              <w:kinsoku/>
              <w:wordWrap/>
              <w:overflowPunct/>
              <w:topLinePunct w:val="0"/>
              <w:autoSpaceDE/>
              <w:autoSpaceDN/>
              <w:bidi w:val="0"/>
              <w:adjustRightInd/>
              <w:snapToGrid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初中</w:t>
            </w:r>
          </w:p>
          <w:p w14:paraId="319F7528">
            <w:pPr>
              <w:keepNext w:val="0"/>
              <w:keepLines w:val="0"/>
              <w:pageBreakBefore w:val="0"/>
              <w:widowControl/>
              <w:suppressLineNumbers w:val="0"/>
              <w:kinsoku/>
              <w:wordWrap/>
              <w:overflowPunct/>
              <w:topLinePunct w:val="0"/>
              <w:autoSpaceDE/>
              <w:autoSpaceDN/>
              <w:bidi w:val="0"/>
              <w:adjustRightInd/>
              <w:snapToGrid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高中</w:t>
            </w:r>
          </w:p>
        </w:tc>
        <w:tc>
          <w:tcPr>
            <w:tcW w:w="1621" w:type="dxa"/>
            <w:noWrap w:val="0"/>
            <w:vAlign w:val="center"/>
          </w:tcPr>
          <w:p w14:paraId="5F57862D">
            <w:pPr>
              <w:keepNext w:val="0"/>
              <w:keepLines w:val="0"/>
              <w:pageBreakBefore w:val="0"/>
              <w:widowControl/>
              <w:suppressLineNumbers w:val="0"/>
              <w:kinsoku/>
              <w:wordWrap/>
              <w:overflowPunct/>
              <w:topLinePunct w:val="0"/>
              <w:autoSpaceDE/>
              <w:autoSpaceDN/>
              <w:bidi w:val="0"/>
              <w:adjustRightInd/>
              <w:snapToGrid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将所有学生分成2组，轮流进行不同的课程体验</w:t>
            </w:r>
          </w:p>
        </w:tc>
        <w:tc>
          <w:tcPr>
            <w:tcW w:w="2738" w:type="dxa"/>
            <w:noWrap w:val="0"/>
            <w:vAlign w:val="center"/>
          </w:tcPr>
          <w:p w14:paraId="4676C445">
            <w:pPr>
              <w:keepNext w:val="0"/>
              <w:keepLines w:val="0"/>
              <w:pageBreakBefore w:val="0"/>
              <w:widowControl/>
              <w:suppressLineNumbers w:val="0"/>
              <w:kinsoku/>
              <w:wordWrap/>
              <w:overflowPunct/>
              <w:topLinePunct w:val="0"/>
              <w:autoSpaceDE/>
              <w:autoSpaceDN/>
              <w:bidi w:val="0"/>
              <w:adjustRightInd/>
              <w:snapToGrid w:val="0"/>
              <w:ind w:left="0" w:leftChars="0" w:firstLine="0" w:firstLineChars="0"/>
              <w:jc w:val="center"/>
              <w:textAlignment w:val="center"/>
              <w:rPr>
                <w:rFonts w:hint="eastAsia" w:ascii="仿宋" w:hAnsi="仿宋" w:eastAsia="仿宋" w:cs="仿宋"/>
                <w:i w:val="0"/>
                <w:iCs w:val="0"/>
                <w:color w:val="000000"/>
                <w:kern w:val="0"/>
                <w:sz w:val="21"/>
                <w:szCs w:val="21"/>
                <w:u w:val="none"/>
                <w:lang w:val="en-US" w:eastAsia="zh-CN" w:bidi="ar"/>
              </w:rPr>
            </w:pPr>
            <w:r>
              <w:rPr>
                <w:rFonts w:hint="eastAsia" w:ascii="仿宋" w:hAnsi="仿宋" w:eastAsia="仿宋" w:cs="仿宋"/>
                <w:i w:val="0"/>
                <w:iCs w:val="0"/>
                <w:color w:val="000000"/>
                <w:kern w:val="0"/>
                <w:sz w:val="21"/>
                <w:szCs w:val="21"/>
                <w:u w:val="none"/>
                <w:lang w:val="en-US" w:eastAsia="zh-CN" w:bidi="ar"/>
              </w:rPr>
              <w:t>劳动课－清理园区垃圾并进行分类；语文课－垃圾分类知识</w:t>
            </w:r>
          </w:p>
        </w:tc>
      </w:tr>
    </w:tbl>
    <w:p w14:paraId="55B32CAC">
      <w:pPr>
        <w:spacing w:line="560" w:lineRule="exact"/>
        <w:ind w:left="0" w:leftChars="0" w:firstLine="0" w:firstLineChars="0"/>
        <w:rPr>
          <w:rFonts w:ascii="仿宋_GB2312" w:hAnsi="宋体"/>
          <w:szCs w:val="32"/>
        </w:rPr>
      </w:pPr>
    </w:p>
    <w:p w14:paraId="16C04F19">
      <w:pPr>
        <w:keepNext w:val="0"/>
        <w:keepLines w:val="0"/>
        <w:pageBreakBefore w:val="0"/>
        <w:widowControl/>
        <w:suppressLineNumbers w:val="0"/>
        <w:kinsoku/>
        <w:wordWrap/>
        <w:overflowPunct/>
        <w:topLinePunct w:val="0"/>
        <w:autoSpaceDE/>
        <w:autoSpaceDN/>
        <w:bidi w:val="0"/>
        <w:adjustRightInd/>
        <w:snapToGrid w:val="0"/>
        <w:spacing w:line="560" w:lineRule="exact"/>
        <w:ind w:firstLine="643" w:firstLineChars="200"/>
        <w:jc w:val="both"/>
        <w:textAlignment w:val="auto"/>
        <w:rPr>
          <w:rFonts w:hint="eastAsia" w:ascii="仿宋_GB2312" w:hAnsi="仿宋_GB2312" w:cs="仿宋_GB2312"/>
          <w:b/>
          <w:bCs/>
          <w:color w:val="000000"/>
          <w:kern w:val="0"/>
          <w:sz w:val="32"/>
          <w:szCs w:val="32"/>
          <w:lang w:val="en-US" w:eastAsia="zh-CN" w:bidi="ar"/>
        </w:rPr>
      </w:pPr>
      <w:r>
        <w:rPr>
          <w:rFonts w:hint="eastAsia" w:ascii="仿宋_GB2312" w:hAnsi="仿宋_GB2312" w:cs="仿宋_GB2312"/>
          <w:b/>
          <w:bCs/>
          <w:color w:val="000000"/>
          <w:kern w:val="0"/>
          <w:sz w:val="32"/>
          <w:szCs w:val="32"/>
          <w:lang w:val="en-US" w:eastAsia="zh-CN" w:bidi="ar"/>
        </w:rPr>
        <w:t>为验证本评价规范的科学性、可操作性与指导意义，标准编制组选取广西热作所2024年9月至2025年9月期间开展的代表性研学课程，依据本标准草案（征求意见稿）中的评价指标体系进行了试评价，以检验其适用性并诊断现有课程的提升空间。</w:t>
      </w:r>
    </w:p>
    <w:p w14:paraId="549A0F64">
      <w:pPr>
        <w:spacing w:line="560" w:lineRule="exact"/>
        <w:ind w:firstLine="640"/>
        <w:rPr>
          <w:rFonts w:hint="eastAsia" w:ascii="仿宋_GB2312" w:hAnsi="宋体"/>
          <w:color w:val="auto"/>
          <w:szCs w:val="32"/>
        </w:rPr>
      </w:pPr>
      <w:r>
        <w:rPr>
          <w:rFonts w:hint="eastAsia" w:ascii="仿宋_GB2312" w:hAnsi="宋体"/>
          <w:color w:val="auto"/>
          <w:szCs w:val="32"/>
        </w:rPr>
        <w:t>评价对象：选取了“植物中有趣的数学——测量树木”“虫虫总动员——探秘生物多样性”“农事体验-与美好相‘玉’”等</w:t>
      </w:r>
      <w:r>
        <w:rPr>
          <w:rFonts w:hint="eastAsia" w:ascii="仿宋_GB2312" w:hAnsi="宋体"/>
          <w:color w:val="auto"/>
          <w:szCs w:val="32"/>
          <w:lang w:val="en-US" w:eastAsia="zh-CN"/>
        </w:rPr>
        <w:t>10</w:t>
      </w:r>
      <w:r>
        <w:rPr>
          <w:rFonts w:hint="eastAsia" w:ascii="仿宋_GB2312" w:hAnsi="宋体"/>
          <w:color w:val="auto"/>
          <w:szCs w:val="32"/>
        </w:rPr>
        <w:t>门典型课程。</w:t>
      </w:r>
    </w:p>
    <w:p w14:paraId="1F4EEE1A">
      <w:pPr>
        <w:spacing w:line="560" w:lineRule="exact"/>
        <w:ind w:firstLine="640"/>
        <w:rPr>
          <w:rFonts w:hint="eastAsia" w:ascii="仿宋_GB2312" w:hAnsi="宋体"/>
          <w:color w:val="auto"/>
          <w:szCs w:val="32"/>
        </w:rPr>
      </w:pPr>
      <w:r>
        <w:rPr>
          <w:rFonts w:hint="eastAsia" w:ascii="仿宋_GB2312" w:hAnsi="宋体"/>
          <w:color w:val="auto"/>
          <w:szCs w:val="32"/>
        </w:rPr>
        <w:t>评价人员：由标准编制组成员及相关领域专家组成评价小组，依据附录A《农业科普研学课程设计评价指标评分表》进行独立评分。</w:t>
      </w:r>
    </w:p>
    <w:p w14:paraId="302AC016">
      <w:pPr>
        <w:spacing w:line="560" w:lineRule="exact"/>
        <w:ind w:firstLine="640"/>
        <w:rPr>
          <w:rFonts w:hint="eastAsia" w:ascii="仿宋_GB2312" w:hAnsi="宋体"/>
          <w:color w:val="auto"/>
          <w:szCs w:val="32"/>
        </w:rPr>
      </w:pPr>
      <w:r>
        <w:rPr>
          <w:rFonts w:hint="eastAsia" w:ascii="仿宋_GB2312" w:hAnsi="宋体"/>
          <w:color w:val="auto"/>
          <w:szCs w:val="32"/>
        </w:rPr>
        <w:t>评价时间：2025年11月—12月。</w:t>
      </w:r>
    </w:p>
    <w:p w14:paraId="3DEB2C8D">
      <w:pPr>
        <w:spacing w:line="560" w:lineRule="exact"/>
        <w:ind w:firstLine="640"/>
        <w:rPr>
          <w:rFonts w:hint="eastAsia" w:ascii="仿宋_GB2312" w:hAnsi="宋体"/>
          <w:color w:val="auto"/>
          <w:szCs w:val="32"/>
        </w:rPr>
      </w:pPr>
      <w:r>
        <w:rPr>
          <w:rFonts w:hint="eastAsia" w:ascii="仿宋_GB2312" w:hAnsi="宋体"/>
          <w:color w:val="auto"/>
          <w:szCs w:val="32"/>
        </w:rPr>
        <w:t>评价工具：采用草案中的评价指标表（附录A）及满意度调查表示例（附录B）进行量化与质性评价。</w:t>
      </w:r>
    </w:p>
    <w:p w14:paraId="066F9523">
      <w:pPr>
        <w:spacing w:line="560" w:lineRule="exact"/>
        <w:ind w:firstLine="640"/>
        <w:rPr>
          <w:rFonts w:hint="eastAsia" w:ascii="仿宋_GB2312" w:hAnsi="宋体"/>
          <w:color w:val="auto"/>
          <w:szCs w:val="32"/>
        </w:rPr>
      </w:pPr>
      <w:r>
        <w:rPr>
          <w:rFonts w:hint="eastAsia" w:ascii="仿宋_GB2312" w:hAnsi="宋体"/>
          <w:color w:val="auto"/>
          <w:szCs w:val="32"/>
        </w:rPr>
        <w:t>评价过程：通过查阅课程方案、回顾活动影像与记录、访谈参与师生及家长等方式，对课程设计、实施与效果三个维度进行综合评估。</w:t>
      </w:r>
    </w:p>
    <w:p w14:paraId="6FDBB9D9">
      <w:pPr>
        <w:spacing w:line="560" w:lineRule="exact"/>
        <w:ind w:firstLine="640"/>
        <w:rPr>
          <w:rFonts w:hint="eastAsia" w:ascii="仿宋_GB2312" w:hAnsi="宋体"/>
          <w:color w:val="auto"/>
          <w:szCs w:val="32"/>
        </w:rPr>
      </w:pPr>
      <w:r>
        <w:rPr>
          <w:rFonts w:hint="eastAsia" w:ascii="仿宋_GB2312" w:hAnsi="宋体"/>
          <w:color w:val="auto"/>
          <w:szCs w:val="32"/>
        </w:rPr>
        <w:t>试评价发现与</w:t>
      </w:r>
      <w:r>
        <w:rPr>
          <w:rFonts w:hint="eastAsia" w:ascii="仿宋_GB2312" w:hAnsi="宋体"/>
          <w:color w:val="auto"/>
          <w:szCs w:val="32"/>
          <w:lang w:val="en-US" w:eastAsia="zh-CN"/>
        </w:rPr>
        <w:t>需</w:t>
      </w:r>
      <w:r>
        <w:rPr>
          <w:rFonts w:hint="eastAsia" w:ascii="仿宋_GB2312" w:hAnsi="宋体"/>
          <w:color w:val="auto"/>
          <w:szCs w:val="32"/>
        </w:rPr>
        <w:t>改进</w:t>
      </w:r>
      <w:r>
        <w:rPr>
          <w:rFonts w:hint="eastAsia" w:ascii="仿宋_GB2312" w:hAnsi="宋体"/>
          <w:color w:val="auto"/>
          <w:szCs w:val="32"/>
          <w:lang w:val="en-US" w:eastAsia="zh-CN"/>
        </w:rPr>
        <w:t>之处</w:t>
      </w:r>
    </w:p>
    <w:p w14:paraId="46224779">
      <w:pPr>
        <w:spacing w:line="560" w:lineRule="exact"/>
        <w:ind w:firstLine="640"/>
        <w:rPr>
          <w:rFonts w:hint="eastAsia" w:ascii="仿宋_GB2312" w:hAnsi="宋体"/>
          <w:color w:val="auto"/>
          <w:szCs w:val="32"/>
        </w:rPr>
      </w:pPr>
      <w:r>
        <w:rPr>
          <w:rFonts w:hint="eastAsia" w:ascii="仿宋_GB2312" w:hAnsi="宋体"/>
          <w:color w:val="auto"/>
          <w:szCs w:val="32"/>
        </w:rPr>
        <w:t>优势：课程互动性强、学员参与度高，研学导师具备良好的现场组织与讲解能力。</w:t>
      </w:r>
    </w:p>
    <w:p w14:paraId="279E74DC">
      <w:pPr>
        <w:spacing w:line="560" w:lineRule="exact"/>
        <w:ind w:firstLine="640"/>
        <w:rPr>
          <w:rFonts w:hint="eastAsia" w:ascii="仿宋_GB2312" w:hAnsi="宋体"/>
          <w:color w:val="auto"/>
          <w:szCs w:val="32"/>
          <w:lang w:eastAsia="zh-CN"/>
        </w:rPr>
      </w:pPr>
      <w:r>
        <w:rPr>
          <w:rFonts w:hint="eastAsia" w:ascii="仿宋_GB2312" w:hAnsi="宋体"/>
          <w:color w:val="auto"/>
          <w:szCs w:val="32"/>
        </w:rPr>
        <w:t>待改进方向：课程目标应更具体、可衡量；内容应更紧密结合现代农业科技；安全规范需进一步系统化、显性化</w:t>
      </w:r>
      <w:r>
        <w:rPr>
          <w:rFonts w:hint="eastAsia" w:ascii="仿宋_GB2312" w:hAnsi="宋体"/>
          <w:color w:val="auto"/>
          <w:szCs w:val="32"/>
          <w:lang w:eastAsia="zh-CN"/>
        </w:rPr>
        <w:t>。</w:t>
      </w:r>
    </w:p>
    <w:p w14:paraId="22D0F144">
      <w:pPr>
        <w:spacing w:line="560" w:lineRule="exact"/>
        <w:ind w:firstLine="640"/>
        <w:rPr>
          <w:rFonts w:hint="eastAsia" w:ascii="仿宋_GB2312" w:hAnsi="宋体"/>
          <w:color w:val="auto"/>
          <w:szCs w:val="32"/>
        </w:rPr>
      </w:pPr>
      <w:r>
        <w:rPr>
          <w:rFonts w:hint="eastAsia" w:ascii="仿宋_GB2312" w:hAnsi="宋体"/>
          <w:color w:val="auto"/>
          <w:szCs w:val="32"/>
        </w:rPr>
        <w:t>这些真实、细致的评价实践，不仅检验了评价指标的有效性，也为标准中“评价内容”“评价</w:t>
      </w:r>
      <w:r>
        <w:rPr>
          <w:rFonts w:hint="eastAsia" w:ascii="仿宋_GB2312" w:hAnsi="宋体"/>
          <w:color w:val="auto"/>
          <w:szCs w:val="32"/>
          <w:lang w:val="en-US" w:eastAsia="zh-CN"/>
        </w:rPr>
        <w:t>方法</w:t>
      </w:r>
      <w:r>
        <w:rPr>
          <w:rFonts w:hint="eastAsia" w:ascii="仿宋_GB2312" w:hAnsi="宋体"/>
          <w:color w:val="auto"/>
          <w:szCs w:val="32"/>
        </w:rPr>
        <w:t>”</w:t>
      </w:r>
      <w:r>
        <w:rPr>
          <w:rFonts w:hint="eastAsia" w:ascii="仿宋_GB2312" w:hAnsi="宋体"/>
          <w:color w:val="auto"/>
          <w:szCs w:val="32"/>
          <w:lang w:eastAsia="zh-CN"/>
        </w:rPr>
        <w:t>“</w:t>
      </w:r>
      <w:r>
        <w:rPr>
          <w:rFonts w:hint="eastAsia" w:ascii="仿宋_GB2312" w:hAnsi="宋体"/>
          <w:color w:val="auto"/>
          <w:szCs w:val="32"/>
          <w:lang w:val="en-US" w:eastAsia="zh-CN"/>
        </w:rPr>
        <w:t>评价流程及要求</w:t>
      </w:r>
      <w:r>
        <w:rPr>
          <w:rFonts w:hint="eastAsia" w:ascii="仿宋_GB2312" w:hAnsi="宋体"/>
          <w:color w:val="auto"/>
          <w:szCs w:val="32"/>
          <w:lang w:eastAsia="zh-CN"/>
        </w:rPr>
        <w:t>”</w:t>
      </w:r>
      <w:r>
        <w:rPr>
          <w:rFonts w:hint="eastAsia" w:ascii="仿宋_GB2312" w:hAnsi="宋体"/>
          <w:color w:val="auto"/>
          <w:szCs w:val="32"/>
        </w:rPr>
        <w:t>等章节的撰写提供了鲜活案例和实证依据。</w:t>
      </w:r>
    </w:p>
    <w:p w14:paraId="3BD1F1B8">
      <w:pPr>
        <w:spacing w:line="560" w:lineRule="exact"/>
        <w:ind w:firstLine="640"/>
        <w:rPr>
          <w:rFonts w:hint="eastAsia" w:ascii="仿宋_GB2312" w:hAnsi="宋体"/>
          <w:color w:val="auto"/>
          <w:szCs w:val="32"/>
        </w:rPr>
      </w:pPr>
    </w:p>
    <w:p w14:paraId="160FBDA6">
      <w:pPr>
        <w:pStyle w:val="4"/>
        <w:keepNext w:val="0"/>
        <w:keepLines w:val="0"/>
        <w:pageBreakBefore w:val="0"/>
        <w:widowControl w:val="0"/>
        <w:numPr>
          <w:ilvl w:val="0"/>
          <w:numId w:val="0"/>
        </w:numPr>
        <w:kinsoku/>
        <w:wordWrap/>
        <w:overflowPunct/>
        <w:topLinePunct w:val="0"/>
        <w:autoSpaceDE/>
        <w:autoSpaceDN/>
        <w:bidi w:val="0"/>
        <w:adjustRightInd/>
        <w:snapToGrid w:val="0"/>
        <w:spacing w:line="360" w:lineRule="auto"/>
        <w:ind w:firstLine="422" w:firstLineChars="200"/>
        <w:jc w:val="center"/>
        <w:textAlignment w:val="auto"/>
        <w:outlineLvl w:val="0"/>
        <w:rPr>
          <w:rFonts w:hint="default" w:ascii="仿宋" w:hAnsi="仿宋" w:eastAsia="仿宋" w:cs="仿宋"/>
          <w:b/>
          <w:bCs/>
          <w:kern w:val="2"/>
          <w:sz w:val="21"/>
          <w:szCs w:val="21"/>
          <w:lang w:val="en-US" w:eastAsia="zh-CN" w:bidi="ar-SA"/>
        </w:rPr>
      </w:pPr>
      <w:r>
        <w:rPr>
          <w:rFonts w:hint="eastAsia" w:ascii="仿宋" w:hAnsi="仿宋" w:eastAsia="仿宋" w:cs="仿宋"/>
          <w:b/>
          <w:bCs/>
          <w:kern w:val="2"/>
          <w:sz w:val="21"/>
          <w:szCs w:val="21"/>
          <w:lang w:val="en-US" w:eastAsia="zh-CN" w:bidi="ar-SA"/>
        </w:rPr>
        <w:t>表4 广西热作所中小学生研学课程设计评价得分情况汇总表</w:t>
      </w:r>
    </w:p>
    <w:tbl>
      <w:tblPr>
        <w:tblStyle w:val="1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93"/>
        <w:gridCol w:w="1491"/>
        <w:gridCol w:w="1491"/>
        <w:gridCol w:w="1491"/>
        <w:gridCol w:w="1491"/>
        <w:gridCol w:w="1491"/>
      </w:tblGrid>
      <w:tr w14:paraId="6F6687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93" w:type="dxa"/>
            <w:vAlign w:val="center"/>
          </w:tcPr>
          <w:p w14:paraId="641375FB">
            <w:pPr>
              <w:keepNext w:val="0"/>
              <w:keepLines w:val="0"/>
              <w:pageBreakBefore w:val="0"/>
              <w:widowControl w:val="0"/>
              <w:kinsoku/>
              <w:wordWrap/>
              <w:overflowPunct/>
              <w:topLinePunct w:val="0"/>
              <w:autoSpaceDE/>
              <w:autoSpaceDN/>
              <w:bidi w:val="0"/>
              <w:adjustRightInd w:val="0"/>
              <w:snapToGrid w:val="0"/>
              <w:spacing w:line="560" w:lineRule="exact"/>
              <w:ind w:firstLine="0" w:firstLineChars="0"/>
              <w:jc w:val="center"/>
              <w:textAlignment w:val="auto"/>
              <w:rPr>
                <w:rFonts w:hint="eastAsia" w:ascii="宋体" w:hAnsi="宋体" w:eastAsia="宋体" w:cs="宋体"/>
                <w:color w:val="auto"/>
                <w:sz w:val="18"/>
                <w:szCs w:val="18"/>
                <w:vertAlign w:val="baseline"/>
                <w:lang w:val="en-US" w:eastAsia="zh-CN"/>
              </w:rPr>
            </w:pPr>
            <w:r>
              <w:rPr>
                <w:rFonts w:hint="eastAsia" w:ascii="宋体" w:hAnsi="宋体" w:eastAsia="宋体" w:cs="宋体"/>
                <w:color w:val="auto"/>
                <w:sz w:val="18"/>
                <w:szCs w:val="18"/>
                <w:vertAlign w:val="baseline"/>
                <w:lang w:val="en-US" w:eastAsia="zh-CN"/>
              </w:rPr>
              <w:t>课程名称</w:t>
            </w:r>
          </w:p>
        </w:tc>
        <w:tc>
          <w:tcPr>
            <w:tcW w:w="1491" w:type="dxa"/>
            <w:vAlign w:val="center"/>
          </w:tcPr>
          <w:p w14:paraId="1C739140">
            <w:pPr>
              <w:keepNext w:val="0"/>
              <w:keepLines w:val="0"/>
              <w:pageBreakBefore w:val="0"/>
              <w:widowControl w:val="0"/>
              <w:kinsoku/>
              <w:wordWrap/>
              <w:overflowPunct/>
              <w:topLinePunct w:val="0"/>
              <w:autoSpaceDE/>
              <w:autoSpaceDN/>
              <w:bidi w:val="0"/>
              <w:adjustRightInd w:val="0"/>
              <w:snapToGrid w:val="0"/>
              <w:spacing w:line="560" w:lineRule="exact"/>
              <w:ind w:firstLine="0" w:firstLineChars="0"/>
              <w:jc w:val="center"/>
              <w:textAlignment w:val="auto"/>
              <w:rPr>
                <w:rFonts w:hint="default" w:ascii="宋体" w:hAnsi="宋体" w:eastAsia="宋体" w:cs="宋体"/>
                <w:color w:val="auto"/>
                <w:sz w:val="18"/>
                <w:szCs w:val="18"/>
                <w:vertAlign w:val="baseline"/>
                <w:lang w:val="en-US" w:eastAsia="zh-CN"/>
              </w:rPr>
            </w:pPr>
            <w:r>
              <w:rPr>
                <w:rFonts w:hint="eastAsia" w:ascii="宋体" w:hAnsi="宋体" w:eastAsia="宋体" w:cs="宋体"/>
                <w:color w:val="auto"/>
                <w:sz w:val="18"/>
                <w:szCs w:val="18"/>
                <w:vertAlign w:val="baseline"/>
                <w:lang w:val="en-US" w:eastAsia="zh-CN"/>
              </w:rPr>
              <w:t>课程设计得分（40分）</w:t>
            </w:r>
          </w:p>
        </w:tc>
        <w:tc>
          <w:tcPr>
            <w:tcW w:w="1491" w:type="dxa"/>
            <w:vAlign w:val="center"/>
          </w:tcPr>
          <w:p w14:paraId="474BE8EB">
            <w:pPr>
              <w:keepNext w:val="0"/>
              <w:keepLines w:val="0"/>
              <w:pageBreakBefore w:val="0"/>
              <w:widowControl w:val="0"/>
              <w:kinsoku/>
              <w:wordWrap/>
              <w:overflowPunct/>
              <w:topLinePunct w:val="0"/>
              <w:autoSpaceDE/>
              <w:autoSpaceDN/>
              <w:bidi w:val="0"/>
              <w:adjustRightInd w:val="0"/>
              <w:snapToGrid w:val="0"/>
              <w:spacing w:line="560" w:lineRule="exact"/>
              <w:ind w:firstLine="0" w:firstLineChars="0"/>
              <w:jc w:val="center"/>
              <w:textAlignment w:val="auto"/>
              <w:rPr>
                <w:rFonts w:hint="eastAsia" w:ascii="宋体" w:hAnsi="宋体" w:eastAsia="宋体" w:cs="宋体"/>
                <w:color w:val="auto"/>
                <w:sz w:val="18"/>
                <w:szCs w:val="18"/>
                <w:vertAlign w:val="baseline"/>
                <w:lang w:eastAsia="zh-CN"/>
              </w:rPr>
            </w:pPr>
            <w:r>
              <w:rPr>
                <w:rFonts w:hint="eastAsia" w:ascii="宋体" w:hAnsi="宋体" w:eastAsia="宋体" w:cs="宋体"/>
                <w:color w:val="auto"/>
                <w:sz w:val="18"/>
                <w:szCs w:val="18"/>
                <w:vertAlign w:val="baseline"/>
              </w:rPr>
              <w:t>课程实施得分</w:t>
            </w:r>
            <w:r>
              <w:rPr>
                <w:rFonts w:hint="eastAsia" w:ascii="宋体" w:hAnsi="宋体" w:eastAsia="宋体" w:cs="宋体"/>
                <w:color w:val="auto"/>
                <w:sz w:val="18"/>
                <w:szCs w:val="18"/>
                <w:vertAlign w:val="baseline"/>
                <w:lang w:eastAsia="zh-CN"/>
              </w:rPr>
              <w:t>（</w:t>
            </w:r>
            <w:r>
              <w:rPr>
                <w:rFonts w:hint="eastAsia" w:ascii="宋体" w:hAnsi="宋体" w:eastAsia="宋体" w:cs="宋体"/>
                <w:color w:val="auto"/>
                <w:sz w:val="18"/>
                <w:szCs w:val="18"/>
                <w:vertAlign w:val="baseline"/>
                <w:lang w:val="en-US" w:eastAsia="zh-CN"/>
              </w:rPr>
              <w:t>30分</w:t>
            </w:r>
            <w:r>
              <w:rPr>
                <w:rFonts w:hint="eastAsia" w:ascii="宋体" w:hAnsi="宋体" w:eastAsia="宋体" w:cs="宋体"/>
                <w:color w:val="auto"/>
                <w:sz w:val="18"/>
                <w:szCs w:val="18"/>
                <w:vertAlign w:val="baseline"/>
                <w:lang w:eastAsia="zh-CN"/>
              </w:rPr>
              <w:t>）</w:t>
            </w:r>
          </w:p>
        </w:tc>
        <w:tc>
          <w:tcPr>
            <w:tcW w:w="1491" w:type="dxa"/>
            <w:vAlign w:val="center"/>
          </w:tcPr>
          <w:p w14:paraId="4BCF5E08">
            <w:pPr>
              <w:keepNext w:val="0"/>
              <w:keepLines w:val="0"/>
              <w:pageBreakBefore w:val="0"/>
              <w:widowControl w:val="0"/>
              <w:kinsoku/>
              <w:wordWrap/>
              <w:overflowPunct/>
              <w:topLinePunct w:val="0"/>
              <w:autoSpaceDE/>
              <w:autoSpaceDN/>
              <w:bidi w:val="0"/>
              <w:adjustRightInd w:val="0"/>
              <w:snapToGrid w:val="0"/>
              <w:spacing w:line="560" w:lineRule="exact"/>
              <w:ind w:firstLine="0" w:firstLineChars="0"/>
              <w:jc w:val="center"/>
              <w:textAlignment w:val="auto"/>
              <w:rPr>
                <w:rFonts w:hint="eastAsia" w:ascii="宋体" w:hAnsi="宋体" w:eastAsia="宋体" w:cs="宋体"/>
                <w:color w:val="auto"/>
                <w:sz w:val="18"/>
                <w:szCs w:val="18"/>
                <w:vertAlign w:val="baseline"/>
                <w:lang w:eastAsia="zh-CN"/>
              </w:rPr>
            </w:pPr>
            <w:r>
              <w:rPr>
                <w:rFonts w:hint="eastAsia" w:ascii="宋体" w:hAnsi="宋体" w:eastAsia="宋体" w:cs="宋体"/>
                <w:color w:val="auto"/>
                <w:sz w:val="18"/>
                <w:szCs w:val="18"/>
                <w:vertAlign w:val="baseline"/>
              </w:rPr>
              <w:t>课程效果得分</w:t>
            </w:r>
            <w:r>
              <w:rPr>
                <w:rFonts w:hint="eastAsia" w:ascii="宋体" w:hAnsi="宋体" w:eastAsia="宋体" w:cs="宋体"/>
                <w:color w:val="auto"/>
                <w:sz w:val="18"/>
                <w:szCs w:val="18"/>
                <w:vertAlign w:val="baseline"/>
                <w:lang w:eastAsia="zh-CN"/>
              </w:rPr>
              <w:t>（</w:t>
            </w:r>
            <w:r>
              <w:rPr>
                <w:rFonts w:hint="eastAsia" w:ascii="宋体" w:hAnsi="宋体" w:eastAsia="宋体" w:cs="宋体"/>
                <w:color w:val="auto"/>
                <w:sz w:val="18"/>
                <w:szCs w:val="18"/>
                <w:vertAlign w:val="baseline"/>
                <w:lang w:val="en-US" w:eastAsia="zh-CN"/>
              </w:rPr>
              <w:t>30分</w:t>
            </w:r>
            <w:r>
              <w:rPr>
                <w:rFonts w:hint="eastAsia" w:ascii="宋体" w:hAnsi="宋体" w:eastAsia="宋体" w:cs="宋体"/>
                <w:color w:val="auto"/>
                <w:sz w:val="18"/>
                <w:szCs w:val="18"/>
                <w:vertAlign w:val="baseline"/>
                <w:lang w:eastAsia="zh-CN"/>
              </w:rPr>
              <w:t>）</w:t>
            </w:r>
          </w:p>
        </w:tc>
        <w:tc>
          <w:tcPr>
            <w:tcW w:w="1491" w:type="dxa"/>
            <w:vAlign w:val="center"/>
          </w:tcPr>
          <w:p w14:paraId="79AF11AA">
            <w:pPr>
              <w:keepNext w:val="0"/>
              <w:keepLines w:val="0"/>
              <w:pageBreakBefore w:val="0"/>
              <w:widowControl w:val="0"/>
              <w:kinsoku/>
              <w:wordWrap/>
              <w:overflowPunct/>
              <w:topLinePunct w:val="0"/>
              <w:autoSpaceDE/>
              <w:autoSpaceDN/>
              <w:bidi w:val="0"/>
              <w:adjustRightInd w:val="0"/>
              <w:snapToGrid w:val="0"/>
              <w:spacing w:line="560" w:lineRule="exact"/>
              <w:ind w:firstLine="0" w:firstLineChars="0"/>
              <w:jc w:val="center"/>
              <w:textAlignment w:val="auto"/>
              <w:rPr>
                <w:rFonts w:hint="eastAsia" w:ascii="宋体" w:hAnsi="宋体" w:eastAsia="宋体" w:cs="宋体"/>
                <w:color w:val="auto"/>
                <w:sz w:val="18"/>
                <w:szCs w:val="18"/>
                <w:vertAlign w:val="baseline"/>
              </w:rPr>
            </w:pPr>
            <w:r>
              <w:rPr>
                <w:rFonts w:hint="eastAsia" w:ascii="宋体" w:hAnsi="宋体" w:eastAsia="宋体" w:cs="宋体"/>
                <w:color w:val="auto"/>
                <w:sz w:val="18"/>
                <w:szCs w:val="18"/>
                <w:vertAlign w:val="baseline"/>
              </w:rPr>
              <w:t>综合得分</w:t>
            </w:r>
          </w:p>
          <w:p w14:paraId="6668CC3F">
            <w:pPr>
              <w:keepNext w:val="0"/>
              <w:keepLines w:val="0"/>
              <w:pageBreakBefore w:val="0"/>
              <w:widowControl w:val="0"/>
              <w:kinsoku/>
              <w:wordWrap/>
              <w:overflowPunct/>
              <w:topLinePunct w:val="0"/>
              <w:autoSpaceDE/>
              <w:autoSpaceDN/>
              <w:bidi w:val="0"/>
              <w:adjustRightInd w:val="0"/>
              <w:snapToGrid w:val="0"/>
              <w:spacing w:line="560" w:lineRule="exact"/>
              <w:ind w:firstLine="0" w:firstLineChars="0"/>
              <w:jc w:val="center"/>
              <w:textAlignment w:val="auto"/>
              <w:rPr>
                <w:rFonts w:hint="eastAsia" w:ascii="宋体" w:hAnsi="宋体" w:eastAsia="宋体" w:cs="宋体"/>
                <w:color w:val="auto"/>
                <w:sz w:val="18"/>
                <w:szCs w:val="18"/>
                <w:vertAlign w:val="baseline"/>
                <w:lang w:eastAsia="zh-CN"/>
              </w:rPr>
            </w:pPr>
            <w:r>
              <w:rPr>
                <w:rFonts w:hint="eastAsia" w:ascii="宋体" w:hAnsi="宋体" w:eastAsia="宋体" w:cs="宋体"/>
                <w:color w:val="auto"/>
                <w:sz w:val="18"/>
                <w:szCs w:val="18"/>
                <w:vertAlign w:val="baseline"/>
                <w:lang w:eastAsia="zh-CN"/>
              </w:rPr>
              <w:t>（</w:t>
            </w:r>
            <w:r>
              <w:rPr>
                <w:rFonts w:hint="eastAsia" w:ascii="宋体" w:hAnsi="宋体" w:eastAsia="宋体" w:cs="宋体"/>
                <w:color w:val="auto"/>
                <w:sz w:val="18"/>
                <w:szCs w:val="18"/>
                <w:vertAlign w:val="baseline"/>
                <w:lang w:val="en-US" w:eastAsia="zh-CN"/>
              </w:rPr>
              <w:t>100分</w:t>
            </w:r>
            <w:r>
              <w:rPr>
                <w:rFonts w:hint="eastAsia" w:ascii="宋体" w:hAnsi="宋体" w:eastAsia="宋体" w:cs="宋体"/>
                <w:color w:val="auto"/>
                <w:sz w:val="18"/>
                <w:szCs w:val="18"/>
                <w:vertAlign w:val="baseline"/>
                <w:lang w:eastAsia="zh-CN"/>
              </w:rPr>
              <w:t>）</w:t>
            </w:r>
          </w:p>
        </w:tc>
        <w:tc>
          <w:tcPr>
            <w:tcW w:w="1491" w:type="dxa"/>
            <w:vAlign w:val="center"/>
          </w:tcPr>
          <w:p w14:paraId="3E829B1F">
            <w:pPr>
              <w:keepNext w:val="0"/>
              <w:keepLines w:val="0"/>
              <w:pageBreakBefore w:val="0"/>
              <w:widowControl w:val="0"/>
              <w:kinsoku/>
              <w:wordWrap/>
              <w:overflowPunct/>
              <w:topLinePunct w:val="0"/>
              <w:autoSpaceDE/>
              <w:autoSpaceDN/>
              <w:bidi w:val="0"/>
              <w:adjustRightInd w:val="0"/>
              <w:snapToGrid w:val="0"/>
              <w:spacing w:line="560" w:lineRule="exact"/>
              <w:ind w:firstLine="0" w:firstLineChars="0"/>
              <w:jc w:val="center"/>
              <w:textAlignment w:val="auto"/>
              <w:rPr>
                <w:rFonts w:hint="eastAsia" w:ascii="宋体" w:hAnsi="宋体" w:eastAsia="宋体" w:cs="宋体"/>
                <w:color w:val="auto"/>
                <w:sz w:val="18"/>
                <w:szCs w:val="18"/>
                <w:vertAlign w:val="baseline"/>
                <w:lang w:val="en-US" w:eastAsia="zh-CN"/>
              </w:rPr>
            </w:pPr>
            <w:r>
              <w:rPr>
                <w:rFonts w:hint="eastAsia" w:ascii="宋体" w:hAnsi="宋体" w:eastAsia="宋体" w:cs="宋体"/>
                <w:color w:val="auto"/>
                <w:sz w:val="18"/>
                <w:szCs w:val="18"/>
                <w:vertAlign w:val="baseline"/>
                <w:lang w:val="en-US" w:eastAsia="zh-CN"/>
              </w:rPr>
              <w:t>评价等级</w:t>
            </w:r>
          </w:p>
        </w:tc>
      </w:tr>
      <w:tr w14:paraId="235241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93" w:type="dxa"/>
            <w:vAlign w:val="center"/>
          </w:tcPr>
          <w:p w14:paraId="6AD4300F">
            <w:pPr>
              <w:keepNext w:val="0"/>
              <w:keepLines w:val="0"/>
              <w:pageBreakBefore w:val="0"/>
              <w:widowControl/>
              <w:suppressLineNumbers w:val="0"/>
              <w:kinsoku/>
              <w:wordWrap/>
              <w:overflowPunct/>
              <w:topLinePunct w:val="0"/>
              <w:autoSpaceDE/>
              <w:autoSpaceDN/>
              <w:bidi w:val="0"/>
              <w:adjustRightInd/>
              <w:snapToGrid w:val="0"/>
              <w:spacing w:line="240" w:lineRule="exact"/>
              <w:ind w:left="0" w:leftChars="0" w:firstLine="0" w:firstLineChars="0"/>
              <w:jc w:val="center"/>
              <w:textAlignment w:val="center"/>
              <w:rPr>
                <w:rFonts w:hint="eastAsia" w:ascii="宋体" w:hAnsi="宋体" w:eastAsia="宋体" w:cs="宋体"/>
                <w:color w:val="auto"/>
                <w:sz w:val="18"/>
                <w:szCs w:val="18"/>
                <w:vertAlign w:val="baseline"/>
              </w:rPr>
            </w:pPr>
            <w:r>
              <w:rPr>
                <w:rFonts w:hint="eastAsia" w:ascii="仿宋" w:hAnsi="仿宋" w:eastAsia="仿宋" w:cs="仿宋"/>
                <w:i w:val="0"/>
                <w:iCs w:val="0"/>
                <w:color w:val="000000"/>
                <w:kern w:val="0"/>
                <w:sz w:val="21"/>
                <w:szCs w:val="21"/>
                <w:u w:val="none"/>
                <w:lang w:val="en-US" w:eastAsia="zh-CN" w:bidi="ar"/>
              </w:rPr>
              <w:t>神奇的造物——用另一种角度看</w:t>
            </w:r>
          </w:p>
        </w:tc>
        <w:tc>
          <w:tcPr>
            <w:tcW w:w="1491" w:type="dxa"/>
            <w:vAlign w:val="center"/>
          </w:tcPr>
          <w:p w14:paraId="11A43B5C">
            <w:pPr>
              <w:keepNext w:val="0"/>
              <w:keepLines w:val="0"/>
              <w:pageBreakBefore w:val="0"/>
              <w:widowControl w:val="0"/>
              <w:kinsoku/>
              <w:wordWrap/>
              <w:overflowPunct/>
              <w:topLinePunct w:val="0"/>
              <w:autoSpaceDE/>
              <w:autoSpaceDN/>
              <w:bidi w:val="0"/>
              <w:adjustRightInd w:val="0"/>
              <w:snapToGrid w:val="0"/>
              <w:spacing w:line="560" w:lineRule="exact"/>
              <w:ind w:firstLine="0" w:firstLineChars="0"/>
              <w:jc w:val="center"/>
              <w:textAlignment w:val="auto"/>
              <w:rPr>
                <w:rFonts w:hint="default" w:ascii="宋体" w:hAnsi="宋体" w:eastAsia="宋体" w:cs="宋体"/>
                <w:color w:val="auto"/>
                <w:sz w:val="18"/>
                <w:szCs w:val="18"/>
                <w:vertAlign w:val="baseline"/>
                <w:lang w:val="en-US" w:eastAsia="zh-CN"/>
              </w:rPr>
            </w:pPr>
            <w:r>
              <w:rPr>
                <w:rFonts w:hint="eastAsia" w:ascii="宋体" w:hAnsi="宋体" w:eastAsia="宋体" w:cs="宋体"/>
                <w:color w:val="auto"/>
                <w:sz w:val="18"/>
                <w:szCs w:val="18"/>
                <w:vertAlign w:val="baseline"/>
                <w:lang w:val="en-US" w:eastAsia="zh-CN"/>
              </w:rPr>
              <w:t>32</w:t>
            </w:r>
          </w:p>
        </w:tc>
        <w:tc>
          <w:tcPr>
            <w:tcW w:w="1491" w:type="dxa"/>
            <w:vAlign w:val="center"/>
          </w:tcPr>
          <w:p w14:paraId="242FEF74">
            <w:pPr>
              <w:keepNext w:val="0"/>
              <w:keepLines w:val="0"/>
              <w:pageBreakBefore w:val="0"/>
              <w:widowControl w:val="0"/>
              <w:kinsoku/>
              <w:wordWrap/>
              <w:overflowPunct/>
              <w:topLinePunct w:val="0"/>
              <w:autoSpaceDE/>
              <w:autoSpaceDN/>
              <w:bidi w:val="0"/>
              <w:adjustRightInd w:val="0"/>
              <w:snapToGrid w:val="0"/>
              <w:spacing w:line="560" w:lineRule="exact"/>
              <w:ind w:firstLine="0" w:firstLineChars="0"/>
              <w:jc w:val="center"/>
              <w:textAlignment w:val="auto"/>
              <w:rPr>
                <w:rFonts w:hint="default" w:ascii="宋体" w:hAnsi="宋体" w:eastAsia="宋体" w:cs="宋体"/>
                <w:color w:val="auto"/>
                <w:sz w:val="18"/>
                <w:szCs w:val="18"/>
                <w:vertAlign w:val="baseline"/>
                <w:lang w:val="en-US" w:eastAsia="zh-CN"/>
              </w:rPr>
            </w:pPr>
            <w:r>
              <w:rPr>
                <w:rFonts w:hint="eastAsia" w:ascii="宋体" w:hAnsi="宋体" w:eastAsia="宋体" w:cs="宋体"/>
                <w:color w:val="auto"/>
                <w:sz w:val="18"/>
                <w:szCs w:val="18"/>
                <w:vertAlign w:val="baseline"/>
                <w:lang w:val="en-US" w:eastAsia="zh-CN"/>
              </w:rPr>
              <w:t>26</w:t>
            </w:r>
          </w:p>
        </w:tc>
        <w:tc>
          <w:tcPr>
            <w:tcW w:w="1491" w:type="dxa"/>
            <w:vAlign w:val="center"/>
          </w:tcPr>
          <w:p w14:paraId="2299284E">
            <w:pPr>
              <w:keepNext w:val="0"/>
              <w:keepLines w:val="0"/>
              <w:pageBreakBefore w:val="0"/>
              <w:widowControl w:val="0"/>
              <w:kinsoku/>
              <w:wordWrap/>
              <w:overflowPunct/>
              <w:topLinePunct w:val="0"/>
              <w:autoSpaceDE/>
              <w:autoSpaceDN/>
              <w:bidi w:val="0"/>
              <w:adjustRightInd w:val="0"/>
              <w:snapToGrid w:val="0"/>
              <w:spacing w:line="560" w:lineRule="exact"/>
              <w:ind w:firstLine="0" w:firstLineChars="0"/>
              <w:jc w:val="center"/>
              <w:textAlignment w:val="auto"/>
              <w:rPr>
                <w:rFonts w:hint="default" w:ascii="宋体" w:hAnsi="宋体" w:eastAsia="宋体" w:cs="宋体"/>
                <w:color w:val="auto"/>
                <w:sz w:val="18"/>
                <w:szCs w:val="18"/>
                <w:vertAlign w:val="baseline"/>
                <w:lang w:val="en-US" w:eastAsia="zh-CN"/>
              </w:rPr>
            </w:pPr>
            <w:r>
              <w:rPr>
                <w:rFonts w:hint="eastAsia" w:ascii="宋体" w:hAnsi="宋体" w:eastAsia="宋体" w:cs="宋体"/>
                <w:color w:val="auto"/>
                <w:sz w:val="18"/>
                <w:szCs w:val="18"/>
                <w:vertAlign w:val="baseline"/>
                <w:lang w:val="en-US" w:eastAsia="zh-CN"/>
              </w:rPr>
              <w:t>25</w:t>
            </w:r>
          </w:p>
        </w:tc>
        <w:tc>
          <w:tcPr>
            <w:tcW w:w="1491" w:type="dxa"/>
            <w:vAlign w:val="center"/>
          </w:tcPr>
          <w:p w14:paraId="1E3DAC3F">
            <w:pPr>
              <w:keepNext w:val="0"/>
              <w:keepLines w:val="0"/>
              <w:pageBreakBefore w:val="0"/>
              <w:widowControl w:val="0"/>
              <w:kinsoku/>
              <w:wordWrap/>
              <w:overflowPunct/>
              <w:topLinePunct w:val="0"/>
              <w:autoSpaceDE/>
              <w:autoSpaceDN/>
              <w:bidi w:val="0"/>
              <w:adjustRightInd w:val="0"/>
              <w:snapToGrid w:val="0"/>
              <w:spacing w:line="560" w:lineRule="exact"/>
              <w:ind w:firstLine="0" w:firstLineChars="0"/>
              <w:jc w:val="center"/>
              <w:textAlignment w:val="auto"/>
              <w:rPr>
                <w:rFonts w:hint="default" w:ascii="宋体" w:hAnsi="宋体" w:eastAsia="宋体" w:cs="宋体"/>
                <w:color w:val="auto"/>
                <w:sz w:val="18"/>
                <w:szCs w:val="18"/>
                <w:vertAlign w:val="baseline"/>
                <w:lang w:val="en-US" w:eastAsia="zh-CN"/>
              </w:rPr>
            </w:pPr>
            <w:r>
              <w:rPr>
                <w:rFonts w:hint="eastAsia" w:ascii="宋体" w:hAnsi="宋体" w:eastAsia="宋体" w:cs="宋体"/>
                <w:color w:val="auto"/>
                <w:sz w:val="18"/>
                <w:szCs w:val="18"/>
                <w:vertAlign w:val="baseline"/>
                <w:lang w:val="en-US" w:eastAsia="zh-CN"/>
              </w:rPr>
              <w:t>83</w:t>
            </w:r>
          </w:p>
        </w:tc>
        <w:tc>
          <w:tcPr>
            <w:tcW w:w="1491" w:type="dxa"/>
            <w:vAlign w:val="center"/>
          </w:tcPr>
          <w:p w14:paraId="06534859">
            <w:pPr>
              <w:keepNext w:val="0"/>
              <w:keepLines w:val="0"/>
              <w:pageBreakBefore w:val="0"/>
              <w:widowControl w:val="0"/>
              <w:kinsoku/>
              <w:wordWrap/>
              <w:overflowPunct/>
              <w:topLinePunct w:val="0"/>
              <w:autoSpaceDE/>
              <w:autoSpaceDN/>
              <w:bidi w:val="0"/>
              <w:adjustRightInd w:val="0"/>
              <w:snapToGrid w:val="0"/>
              <w:spacing w:line="560" w:lineRule="exact"/>
              <w:ind w:firstLine="0" w:firstLineChars="0"/>
              <w:jc w:val="center"/>
              <w:textAlignment w:val="auto"/>
              <w:rPr>
                <w:rFonts w:hint="eastAsia" w:ascii="宋体" w:hAnsi="宋体" w:eastAsia="宋体" w:cs="宋体"/>
                <w:color w:val="auto"/>
                <w:sz w:val="18"/>
                <w:szCs w:val="18"/>
                <w:vertAlign w:val="baseline"/>
                <w:lang w:val="en-US" w:eastAsia="zh-CN"/>
              </w:rPr>
            </w:pPr>
            <w:r>
              <w:rPr>
                <w:rFonts w:hint="eastAsia" w:ascii="宋体" w:hAnsi="宋体" w:eastAsia="宋体" w:cs="宋体"/>
                <w:color w:val="auto"/>
                <w:sz w:val="18"/>
                <w:szCs w:val="18"/>
                <w:vertAlign w:val="baseline"/>
                <w:lang w:val="en-US" w:eastAsia="zh-CN"/>
              </w:rPr>
              <w:t>良好</w:t>
            </w:r>
          </w:p>
        </w:tc>
      </w:tr>
      <w:tr w14:paraId="60CD45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93" w:type="dxa"/>
            <w:vAlign w:val="center"/>
          </w:tcPr>
          <w:p w14:paraId="56BCA9FA">
            <w:pPr>
              <w:keepNext w:val="0"/>
              <w:keepLines w:val="0"/>
              <w:pageBreakBefore w:val="0"/>
              <w:widowControl/>
              <w:suppressLineNumbers w:val="0"/>
              <w:kinsoku/>
              <w:wordWrap/>
              <w:overflowPunct/>
              <w:topLinePunct w:val="0"/>
              <w:autoSpaceDE/>
              <w:autoSpaceDN/>
              <w:bidi w:val="0"/>
              <w:adjustRightInd/>
              <w:snapToGrid w:val="0"/>
              <w:spacing w:line="240" w:lineRule="exact"/>
              <w:ind w:left="0" w:leftChars="0" w:firstLine="0" w:firstLineChars="0"/>
              <w:jc w:val="center"/>
              <w:textAlignment w:val="center"/>
              <w:rPr>
                <w:rFonts w:hint="eastAsia" w:ascii="宋体" w:hAnsi="宋体" w:eastAsia="宋体" w:cs="宋体"/>
                <w:color w:val="auto"/>
                <w:sz w:val="18"/>
                <w:szCs w:val="18"/>
                <w:vertAlign w:val="baseline"/>
              </w:rPr>
            </w:pPr>
            <w:r>
              <w:rPr>
                <w:rFonts w:hint="eastAsia" w:ascii="仿宋" w:hAnsi="仿宋" w:eastAsia="仿宋" w:cs="仿宋"/>
                <w:i w:val="0"/>
                <w:iCs w:val="0"/>
                <w:color w:val="000000"/>
                <w:kern w:val="0"/>
                <w:sz w:val="21"/>
                <w:szCs w:val="21"/>
                <w:u w:val="none"/>
                <w:lang w:val="en-US" w:eastAsia="zh-CN" w:bidi="ar"/>
              </w:rPr>
              <w:t>虫虫总动员——见微知著，探秘生物多样性主题课程方案</w:t>
            </w:r>
          </w:p>
        </w:tc>
        <w:tc>
          <w:tcPr>
            <w:tcW w:w="1491" w:type="dxa"/>
            <w:vAlign w:val="center"/>
          </w:tcPr>
          <w:p w14:paraId="6C519FA1">
            <w:pPr>
              <w:keepNext w:val="0"/>
              <w:keepLines w:val="0"/>
              <w:pageBreakBefore w:val="0"/>
              <w:widowControl w:val="0"/>
              <w:kinsoku/>
              <w:wordWrap/>
              <w:overflowPunct/>
              <w:topLinePunct w:val="0"/>
              <w:autoSpaceDE/>
              <w:autoSpaceDN/>
              <w:bidi w:val="0"/>
              <w:adjustRightInd w:val="0"/>
              <w:snapToGrid w:val="0"/>
              <w:spacing w:line="560" w:lineRule="exact"/>
              <w:ind w:firstLine="0" w:firstLineChars="0"/>
              <w:jc w:val="center"/>
              <w:textAlignment w:val="auto"/>
              <w:rPr>
                <w:rFonts w:hint="default" w:ascii="宋体" w:hAnsi="宋体" w:eastAsia="宋体" w:cs="宋体"/>
                <w:color w:val="auto"/>
                <w:sz w:val="18"/>
                <w:szCs w:val="18"/>
                <w:vertAlign w:val="baseline"/>
                <w:lang w:val="en-US" w:eastAsia="zh-CN"/>
              </w:rPr>
            </w:pPr>
            <w:r>
              <w:rPr>
                <w:rFonts w:hint="eastAsia" w:ascii="宋体" w:hAnsi="宋体" w:eastAsia="宋体" w:cs="宋体"/>
                <w:color w:val="auto"/>
                <w:sz w:val="18"/>
                <w:szCs w:val="18"/>
                <w:vertAlign w:val="baseline"/>
                <w:lang w:val="en-US" w:eastAsia="zh-CN"/>
              </w:rPr>
              <w:t>28</w:t>
            </w:r>
          </w:p>
        </w:tc>
        <w:tc>
          <w:tcPr>
            <w:tcW w:w="1491" w:type="dxa"/>
            <w:vAlign w:val="center"/>
          </w:tcPr>
          <w:p w14:paraId="054A25E1">
            <w:pPr>
              <w:keepNext w:val="0"/>
              <w:keepLines w:val="0"/>
              <w:pageBreakBefore w:val="0"/>
              <w:widowControl w:val="0"/>
              <w:kinsoku/>
              <w:wordWrap/>
              <w:overflowPunct/>
              <w:topLinePunct w:val="0"/>
              <w:autoSpaceDE/>
              <w:autoSpaceDN/>
              <w:bidi w:val="0"/>
              <w:adjustRightInd w:val="0"/>
              <w:snapToGrid w:val="0"/>
              <w:spacing w:line="560" w:lineRule="exact"/>
              <w:ind w:firstLine="0" w:firstLineChars="0"/>
              <w:jc w:val="center"/>
              <w:textAlignment w:val="auto"/>
              <w:rPr>
                <w:rFonts w:hint="default" w:ascii="宋体" w:hAnsi="宋体" w:eastAsia="宋体" w:cs="宋体"/>
                <w:color w:val="auto"/>
                <w:sz w:val="18"/>
                <w:szCs w:val="18"/>
                <w:vertAlign w:val="baseline"/>
                <w:lang w:val="en-US" w:eastAsia="zh-CN"/>
              </w:rPr>
            </w:pPr>
            <w:r>
              <w:rPr>
                <w:rFonts w:hint="eastAsia" w:ascii="宋体" w:hAnsi="宋体" w:eastAsia="宋体" w:cs="宋体"/>
                <w:color w:val="auto"/>
                <w:sz w:val="18"/>
                <w:szCs w:val="18"/>
                <w:vertAlign w:val="baseline"/>
                <w:lang w:val="en-US" w:eastAsia="zh-CN"/>
              </w:rPr>
              <w:t>24</w:t>
            </w:r>
          </w:p>
        </w:tc>
        <w:tc>
          <w:tcPr>
            <w:tcW w:w="1491" w:type="dxa"/>
            <w:vAlign w:val="center"/>
          </w:tcPr>
          <w:p w14:paraId="3331C80B">
            <w:pPr>
              <w:keepNext w:val="0"/>
              <w:keepLines w:val="0"/>
              <w:pageBreakBefore w:val="0"/>
              <w:widowControl w:val="0"/>
              <w:kinsoku/>
              <w:wordWrap/>
              <w:overflowPunct/>
              <w:topLinePunct w:val="0"/>
              <w:autoSpaceDE/>
              <w:autoSpaceDN/>
              <w:bidi w:val="0"/>
              <w:adjustRightInd w:val="0"/>
              <w:snapToGrid w:val="0"/>
              <w:spacing w:line="560" w:lineRule="exact"/>
              <w:ind w:firstLine="0" w:firstLineChars="0"/>
              <w:jc w:val="center"/>
              <w:textAlignment w:val="auto"/>
              <w:rPr>
                <w:rFonts w:hint="default" w:ascii="宋体" w:hAnsi="宋体" w:eastAsia="宋体" w:cs="宋体"/>
                <w:color w:val="auto"/>
                <w:sz w:val="18"/>
                <w:szCs w:val="18"/>
                <w:vertAlign w:val="baseline"/>
                <w:lang w:val="en-US" w:eastAsia="zh-CN"/>
              </w:rPr>
            </w:pPr>
            <w:r>
              <w:rPr>
                <w:rFonts w:hint="eastAsia" w:ascii="宋体" w:hAnsi="宋体" w:eastAsia="宋体" w:cs="宋体"/>
                <w:color w:val="auto"/>
                <w:sz w:val="18"/>
                <w:szCs w:val="18"/>
                <w:vertAlign w:val="baseline"/>
                <w:lang w:val="en-US" w:eastAsia="zh-CN"/>
              </w:rPr>
              <w:t>22</w:t>
            </w:r>
          </w:p>
        </w:tc>
        <w:tc>
          <w:tcPr>
            <w:tcW w:w="1491" w:type="dxa"/>
            <w:vAlign w:val="center"/>
          </w:tcPr>
          <w:p w14:paraId="1D837298">
            <w:pPr>
              <w:keepNext w:val="0"/>
              <w:keepLines w:val="0"/>
              <w:pageBreakBefore w:val="0"/>
              <w:widowControl w:val="0"/>
              <w:kinsoku/>
              <w:wordWrap/>
              <w:overflowPunct/>
              <w:topLinePunct w:val="0"/>
              <w:autoSpaceDE/>
              <w:autoSpaceDN/>
              <w:bidi w:val="0"/>
              <w:adjustRightInd w:val="0"/>
              <w:snapToGrid w:val="0"/>
              <w:spacing w:line="560" w:lineRule="exact"/>
              <w:ind w:firstLine="0" w:firstLineChars="0"/>
              <w:jc w:val="center"/>
              <w:textAlignment w:val="auto"/>
              <w:rPr>
                <w:rFonts w:hint="default" w:ascii="宋体" w:hAnsi="宋体" w:eastAsia="宋体" w:cs="宋体"/>
                <w:color w:val="auto"/>
                <w:sz w:val="18"/>
                <w:szCs w:val="18"/>
                <w:vertAlign w:val="baseline"/>
                <w:lang w:val="en-US" w:eastAsia="zh-CN"/>
              </w:rPr>
            </w:pPr>
            <w:r>
              <w:rPr>
                <w:rFonts w:hint="eastAsia" w:ascii="宋体" w:hAnsi="宋体" w:eastAsia="宋体" w:cs="宋体"/>
                <w:color w:val="auto"/>
                <w:sz w:val="18"/>
                <w:szCs w:val="18"/>
                <w:vertAlign w:val="baseline"/>
                <w:lang w:val="en-US" w:eastAsia="zh-CN"/>
              </w:rPr>
              <w:t>74</w:t>
            </w:r>
          </w:p>
        </w:tc>
        <w:tc>
          <w:tcPr>
            <w:tcW w:w="1491" w:type="dxa"/>
            <w:vAlign w:val="center"/>
          </w:tcPr>
          <w:p w14:paraId="22520C64">
            <w:pPr>
              <w:keepNext w:val="0"/>
              <w:keepLines w:val="0"/>
              <w:pageBreakBefore w:val="0"/>
              <w:widowControl w:val="0"/>
              <w:kinsoku/>
              <w:wordWrap/>
              <w:overflowPunct/>
              <w:topLinePunct w:val="0"/>
              <w:autoSpaceDE/>
              <w:autoSpaceDN/>
              <w:bidi w:val="0"/>
              <w:adjustRightInd w:val="0"/>
              <w:snapToGrid w:val="0"/>
              <w:spacing w:line="560" w:lineRule="exact"/>
              <w:ind w:firstLine="0" w:firstLineChars="0"/>
              <w:jc w:val="center"/>
              <w:textAlignment w:val="auto"/>
              <w:rPr>
                <w:rFonts w:hint="eastAsia" w:ascii="宋体" w:hAnsi="宋体" w:eastAsia="宋体" w:cs="宋体"/>
                <w:color w:val="auto"/>
                <w:sz w:val="18"/>
                <w:szCs w:val="18"/>
                <w:vertAlign w:val="baseline"/>
                <w:lang w:val="en-US" w:eastAsia="zh-CN"/>
              </w:rPr>
            </w:pPr>
            <w:r>
              <w:rPr>
                <w:rFonts w:hint="eastAsia" w:ascii="宋体" w:hAnsi="宋体" w:eastAsia="宋体" w:cs="宋体"/>
                <w:color w:val="auto"/>
                <w:sz w:val="18"/>
                <w:szCs w:val="18"/>
                <w:vertAlign w:val="baseline"/>
                <w:lang w:val="en-US" w:eastAsia="zh-CN"/>
              </w:rPr>
              <w:t>中等</w:t>
            </w:r>
          </w:p>
        </w:tc>
      </w:tr>
      <w:tr w14:paraId="436C0F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93" w:type="dxa"/>
            <w:vAlign w:val="center"/>
          </w:tcPr>
          <w:p w14:paraId="38667FB7">
            <w:pPr>
              <w:keepNext w:val="0"/>
              <w:keepLines w:val="0"/>
              <w:pageBreakBefore w:val="0"/>
              <w:widowControl/>
              <w:suppressLineNumbers w:val="0"/>
              <w:kinsoku/>
              <w:wordWrap/>
              <w:overflowPunct/>
              <w:topLinePunct w:val="0"/>
              <w:autoSpaceDE/>
              <w:autoSpaceDN/>
              <w:bidi w:val="0"/>
              <w:adjustRightInd/>
              <w:snapToGrid w:val="0"/>
              <w:spacing w:line="240" w:lineRule="exact"/>
              <w:ind w:left="0" w:leftChars="0" w:firstLine="0" w:firstLineChars="0"/>
              <w:jc w:val="center"/>
              <w:textAlignment w:val="center"/>
              <w:rPr>
                <w:rFonts w:hint="eastAsia" w:ascii="宋体" w:hAnsi="宋体" w:eastAsia="宋体" w:cs="宋体"/>
                <w:color w:val="auto"/>
                <w:sz w:val="18"/>
                <w:szCs w:val="18"/>
                <w:vertAlign w:val="baseline"/>
              </w:rPr>
            </w:pPr>
            <w:r>
              <w:rPr>
                <w:rFonts w:hint="eastAsia" w:ascii="仿宋" w:hAnsi="仿宋" w:eastAsia="仿宋" w:cs="仿宋"/>
                <w:i w:val="0"/>
                <w:iCs w:val="0"/>
                <w:color w:val="000000"/>
                <w:kern w:val="0"/>
                <w:sz w:val="21"/>
                <w:szCs w:val="21"/>
                <w:u w:val="none"/>
                <w:lang w:val="en-US" w:eastAsia="zh-CN" w:bidi="ar"/>
              </w:rPr>
              <w:t>无处不在的植物——探索森林奥秘，解锁生命密码</w:t>
            </w:r>
          </w:p>
        </w:tc>
        <w:tc>
          <w:tcPr>
            <w:tcW w:w="1491" w:type="dxa"/>
            <w:vAlign w:val="center"/>
          </w:tcPr>
          <w:p w14:paraId="1025AB0D">
            <w:pPr>
              <w:keepNext w:val="0"/>
              <w:keepLines w:val="0"/>
              <w:pageBreakBefore w:val="0"/>
              <w:widowControl w:val="0"/>
              <w:kinsoku/>
              <w:wordWrap/>
              <w:overflowPunct/>
              <w:topLinePunct w:val="0"/>
              <w:autoSpaceDE/>
              <w:autoSpaceDN/>
              <w:bidi w:val="0"/>
              <w:adjustRightInd w:val="0"/>
              <w:snapToGrid w:val="0"/>
              <w:spacing w:line="560" w:lineRule="exact"/>
              <w:ind w:firstLine="0" w:firstLineChars="0"/>
              <w:jc w:val="center"/>
              <w:textAlignment w:val="auto"/>
              <w:rPr>
                <w:rFonts w:hint="default" w:ascii="宋体" w:hAnsi="宋体" w:eastAsia="宋体" w:cs="宋体"/>
                <w:color w:val="auto"/>
                <w:sz w:val="18"/>
                <w:szCs w:val="18"/>
                <w:vertAlign w:val="baseline"/>
                <w:lang w:val="en-US" w:eastAsia="zh-CN"/>
              </w:rPr>
            </w:pPr>
            <w:r>
              <w:rPr>
                <w:rFonts w:hint="eastAsia" w:ascii="宋体" w:hAnsi="宋体" w:eastAsia="宋体" w:cs="宋体"/>
                <w:color w:val="auto"/>
                <w:sz w:val="18"/>
                <w:szCs w:val="18"/>
                <w:vertAlign w:val="baseline"/>
                <w:lang w:val="en-US" w:eastAsia="zh-CN"/>
              </w:rPr>
              <w:t>30</w:t>
            </w:r>
          </w:p>
        </w:tc>
        <w:tc>
          <w:tcPr>
            <w:tcW w:w="1491" w:type="dxa"/>
            <w:vAlign w:val="center"/>
          </w:tcPr>
          <w:p w14:paraId="47894263">
            <w:pPr>
              <w:keepNext w:val="0"/>
              <w:keepLines w:val="0"/>
              <w:pageBreakBefore w:val="0"/>
              <w:widowControl w:val="0"/>
              <w:kinsoku/>
              <w:wordWrap/>
              <w:overflowPunct/>
              <w:topLinePunct w:val="0"/>
              <w:autoSpaceDE/>
              <w:autoSpaceDN/>
              <w:bidi w:val="0"/>
              <w:adjustRightInd w:val="0"/>
              <w:snapToGrid w:val="0"/>
              <w:spacing w:line="560" w:lineRule="exact"/>
              <w:ind w:firstLine="0" w:firstLineChars="0"/>
              <w:jc w:val="center"/>
              <w:textAlignment w:val="auto"/>
              <w:rPr>
                <w:rFonts w:hint="default" w:ascii="宋体" w:hAnsi="宋体" w:eastAsia="宋体" w:cs="宋体"/>
                <w:color w:val="auto"/>
                <w:sz w:val="18"/>
                <w:szCs w:val="18"/>
                <w:vertAlign w:val="baseline"/>
                <w:lang w:val="en-US" w:eastAsia="zh-CN"/>
              </w:rPr>
            </w:pPr>
            <w:r>
              <w:rPr>
                <w:rFonts w:hint="eastAsia" w:ascii="宋体" w:hAnsi="宋体" w:eastAsia="宋体" w:cs="宋体"/>
                <w:color w:val="auto"/>
                <w:sz w:val="18"/>
                <w:szCs w:val="18"/>
                <w:vertAlign w:val="baseline"/>
                <w:lang w:val="en-US" w:eastAsia="zh-CN"/>
              </w:rPr>
              <w:t>25</w:t>
            </w:r>
          </w:p>
        </w:tc>
        <w:tc>
          <w:tcPr>
            <w:tcW w:w="1491" w:type="dxa"/>
            <w:vAlign w:val="center"/>
          </w:tcPr>
          <w:p w14:paraId="4B61D738">
            <w:pPr>
              <w:keepNext w:val="0"/>
              <w:keepLines w:val="0"/>
              <w:pageBreakBefore w:val="0"/>
              <w:widowControl w:val="0"/>
              <w:kinsoku/>
              <w:wordWrap/>
              <w:overflowPunct/>
              <w:topLinePunct w:val="0"/>
              <w:autoSpaceDE/>
              <w:autoSpaceDN/>
              <w:bidi w:val="0"/>
              <w:adjustRightInd w:val="0"/>
              <w:snapToGrid w:val="0"/>
              <w:spacing w:line="560" w:lineRule="exact"/>
              <w:ind w:firstLine="0" w:firstLineChars="0"/>
              <w:jc w:val="center"/>
              <w:textAlignment w:val="auto"/>
              <w:rPr>
                <w:rFonts w:hint="default" w:ascii="宋体" w:hAnsi="宋体" w:eastAsia="宋体" w:cs="宋体"/>
                <w:color w:val="auto"/>
                <w:sz w:val="18"/>
                <w:szCs w:val="18"/>
                <w:vertAlign w:val="baseline"/>
                <w:lang w:val="en-US" w:eastAsia="zh-CN"/>
              </w:rPr>
            </w:pPr>
            <w:r>
              <w:rPr>
                <w:rFonts w:hint="eastAsia" w:ascii="宋体" w:hAnsi="宋体" w:eastAsia="宋体" w:cs="宋体"/>
                <w:color w:val="auto"/>
                <w:sz w:val="18"/>
                <w:szCs w:val="18"/>
                <w:vertAlign w:val="baseline"/>
                <w:lang w:val="en-US" w:eastAsia="zh-CN"/>
              </w:rPr>
              <w:t>24</w:t>
            </w:r>
          </w:p>
        </w:tc>
        <w:tc>
          <w:tcPr>
            <w:tcW w:w="1491" w:type="dxa"/>
            <w:vAlign w:val="center"/>
          </w:tcPr>
          <w:p w14:paraId="0C161DC7">
            <w:pPr>
              <w:keepNext w:val="0"/>
              <w:keepLines w:val="0"/>
              <w:pageBreakBefore w:val="0"/>
              <w:widowControl w:val="0"/>
              <w:kinsoku/>
              <w:wordWrap/>
              <w:overflowPunct/>
              <w:topLinePunct w:val="0"/>
              <w:autoSpaceDE/>
              <w:autoSpaceDN/>
              <w:bidi w:val="0"/>
              <w:adjustRightInd w:val="0"/>
              <w:snapToGrid w:val="0"/>
              <w:spacing w:line="560" w:lineRule="exact"/>
              <w:ind w:firstLine="0" w:firstLineChars="0"/>
              <w:jc w:val="center"/>
              <w:textAlignment w:val="auto"/>
              <w:rPr>
                <w:rFonts w:hint="default" w:ascii="宋体" w:hAnsi="宋体" w:eastAsia="宋体" w:cs="宋体"/>
                <w:color w:val="auto"/>
                <w:sz w:val="18"/>
                <w:szCs w:val="18"/>
                <w:vertAlign w:val="baseline"/>
                <w:lang w:val="en-US" w:eastAsia="zh-CN"/>
              </w:rPr>
            </w:pPr>
            <w:r>
              <w:rPr>
                <w:rFonts w:hint="eastAsia" w:ascii="宋体" w:hAnsi="宋体" w:eastAsia="宋体" w:cs="宋体"/>
                <w:color w:val="auto"/>
                <w:sz w:val="18"/>
                <w:szCs w:val="18"/>
                <w:vertAlign w:val="baseline"/>
                <w:lang w:val="en-US" w:eastAsia="zh-CN"/>
              </w:rPr>
              <w:t>79</w:t>
            </w:r>
          </w:p>
        </w:tc>
        <w:tc>
          <w:tcPr>
            <w:tcW w:w="1491" w:type="dxa"/>
            <w:vAlign w:val="center"/>
          </w:tcPr>
          <w:p w14:paraId="29C1671D">
            <w:pPr>
              <w:keepNext w:val="0"/>
              <w:keepLines w:val="0"/>
              <w:pageBreakBefore w:val="0"/>
              <w:widowControl w:val="0"/>
              <w:kinsoku/>
              <w:wordWrap/>
              <w:overflowPunct/>
              <w:topLinePunct w:val="0"/>
              <w:autoSpaceDE/>
              <w:autoSpaceDN/>
              <w:bidi w:val="0"/>
              <w:adjustRightInd w:val="0"/>
              <w:snapToGrid w:val="0"/>
              <w:spacing w:line="560" w:lineRule="exact"/>
              <w:ind w:firstLine="0" w:firstLineChars="0"/>
              <w:jc w:val="center"/>
              <w:textAlignment w:val="auto"/>
              <w:rPr>
                <w:rFonts w:hint="eastAsia" w:ascii="宋体" w:hAnsi="宋体" w:eastAsia="宋体" w:cs="宋体"/>
                <w:color w:val="auto"/>
                <w:sz w:val="18"/>
                <w:szCs w:val="18"/>
                <w:vertAlign w:val="baseline"/>
                <w:lang w:val="en-US" w:eastAsia="zh-CN"/>
              </w:rPr>
            </w:pPr>
            <w:r>
              <w:rPr>
                <w:rFonts w:hint="eastAsia" w:ascii="宋体" w:hAnsi="宋体" w:eastAsia="宋体" w:cs="宋体"/>
                <w:color w:val="auto"/>
                <w:sz w:val="18"/>
                <w:szCs w:val="18"/>
                <w:vertAlign w:val="baseline"/>
                <w:lang w:val="en-US" w:eastAsia="zh-CN"/>
              </w:rPr>
              <w:t>中等</w:t>
            </w:r>
          </w:p>
        </w:tc>
      </w:tr>
      <w:tr w14:paraId="45B474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93" w:type="dxa"/>
            <w:vAlign w:val="center"/>
          </w:tcPr>
          <w:p w14:paraId="2019BB25">
            <w:pPr>
              <w:keepNext w:val="0"/>
              <w:keepLines w:val="0"/>
              <w:pageBreakBefore w:val="0"/>
              <w:widowControl/>
              <w:suppressLineNumbers w:val="0"/>
              <w:kinsoku/>
              <w:wordWrap/>
              <w:overflowPunct/>
              <w:topLinePunct w:val="0"/>
              <w:autoSpaceDE/>
              <w:autoSpaceDN/>
              <w:bidi w:val="0"/>
              <w:adjustRightInd/>
              <w:snapToGrid w:val="0"/>
              <w:spacing w:line="240" w:lineRule="exact"/>
              <w:ind w:left="0" w:leftChars="0" w:firstLine="0" w:firstLineChars="0"/>
              <w:jc w:val="center"/>
              <w:textAlignment w:val="center"/>
              <w:rPr>
                <w:rFonts w:hint="eastAsia" w:ascii="宋体" w:hAnsi="宋体" w:eastAsia="宋体" w:cs="宋体"/>
                <w:color w:val="auto"/>
                <w:sz w:val="18"/>
                <w:szCs w:val="18"/>
                <w:vertAlign w:val="baseline"/>
              </w:rPr>
            </w:pPr>
            <w:r>
              <w:rPr>
                <w:rFonts w:hint="eastAsia" w:ascii="仿宋" w:hAnsi="仿宋" w:eastAsia="仿宋" w:cs="仿宋"/>
                <w:i w:val="0"/>
                <w:iCs w:val="0"/>
                <w:color w:val="000000"/>
                <w:kern w:val="0"/>
                <w:sz w:val="21"/>
                <w:szCs w:val="21"/>
                <w:u w:val="none"/>
                <w:lang w:val="en-US" w:eastAsia="zh-CN" w:bidi="ar"/>
              </w:rPr>
              <w:t>植物中有趣的数学——测量树木</w:t>
            </w:r>
          </w:p>
        </w:tc>
        <w:tc>
          <w:tcPr>
            <w:tcW w:w="1491" w:type="dxa"/>
            <w:vAlign w:val="center"/>
          </w:tcPr>
          <w:p w14:paraId="08D11D1D">
            <w:pPr>
              <w:keepNext w:val="0"/>
              <w:keepLines w:val="0"/>
              <w:pageBreakBefore w:val="0"/>
              <w:widowControl w:val="0"/>
              <w:kinsoku/>
              <w:wordWrap/>
              <w:overflowPunct/>
              <w:topLinePunct w:val="0"/>
              <w:autoSpaceDE/>
              <w:autoSpaceDN/>
              <w:bidi w:val="0"/>
              <w:adjustRightInd w:val="0"/>
              <w:snapToGrid w:val="0"/>
              <w:spacing w:line="560" w:lineRule="exact"/>
              <w:ind w:firstLine="0" w:firstLineChars="0"/>
              <w:jc w:val="center"/>
              <w:textAlignment w:val="auto"/>
              <w:rPr>
                <w:rFonts w:hint="default" w:ascii="宋体" w:hAnsi="宋体" w:eastAsia="宋体" w:cs="宋体"/>
                <w:color w:val="auto"/>
                <w:sz w:val="18"/>
                <w:szCs w:val="18"/>
                <w:vertAlign w:val="baseline"/>
                <w:lang w:val="en-US" w:eastAsia="zh-CN"/>
              </w:rPr>
            </w:pPr>
            <w:r>
              <w:rPr>
                <w:rFonts w:hint="eastAsia" w:ascii="宋体" w:hAnsi="宋体" w:eastAsia="宋体" w:cs="宋体"/>
                <w:color w:val="auto"/>
                <w:sz w:val="18"/>
                <w:szCs w:val="18"/>
                <w:vertAlign w:val="baseline"/>
                <w:lang w:val="en-US" w:eastAsia="zh-CN"/>
              </w:rPr>
              <w:t>31</w:t>
            </w:r>
          </w:p>
        </w:tc>
        <w:tc>
          <w:tcPr>
            <w:tcW w:w="1491" w:type="dxa"/>
            <w:vAlign w:val="center"/>
          </w:tcPr>
          <w:p w14:paraId="2840FEB9">
            <w:pPr>
              <w:keepNext w:val="0"/>
              <w:keepLines w:val="0"/>
              <w:pageBreakBefore w:val="0"/>
              <w:widowControl w:val="0"/>
              <w:kinsoku/>
              <w:wordWrap/>
              <w:overflowPunct/>
              <w:topLinePunct w:val="0"/>
              <w:autoSpaceDE/>
              <w:autoSpaceDN/>
              <w:bidi w:val="0"/>
              <w:adjustRightInd w:val="0"/>
              <w:snapToGrid w:val="0"/>
              <w:spacing w:line="560" w:lineRule="exact"/>
              <w:ind w:firstLine="0" w:firstLineChars="0"/>
              <w:jc w:val="center"/>
              <w:textAlignment w:val="auto"/>
              <w:rPr>
                <w:rFonts w:hint="default" w:ascii="宋体" w:hAnsi="宋体" w:eastAsia="宋体" w:cs="宋体"/>
                <w:color w:val="auto"/>
                <w:sz w:val="18"/>
                <w:szCs w:val="18"/>
                <w:vertAlign w:val="baseline"/>
                <w:lang w:val="en-US" w:eastAsia="zh-CN"/>
              </w:rPr>
            </w:pPr>
            <w:r>
              <w:rPr>
                <w:rFonts w:hint="eastAsia" w:ascii="宋体" w:hAnsi="宋体" w:eastAsia="宋体" w:cs="宋体"/>
                <w:color w:val="auto"/>
                <w:sz w:val="18"/>
                <w:szCs w:val="18"/>
                <w:vertAlign w:val="baseline"/>
                <w:lang w:val="en-US" w:eastAsia="zh-CN"/>
              </w:rPr>
              <w:t>29</w:t>
            </w:r>
          </w:p>
        </w:tc>
        <w:tc>
          <w:tcPr>
            <w:tcW w:w="1491" w:type="dxa"/>
            <w:vAlign w:val="center"/>
          </w:tcPr>
          <w:p w14:paraId="568D1AFC">
            <w:pPr>
              <w:keepNext w:val="0"/>
              <w:keepLines w:val="0"/>
              <w:pageBreakBefore w:val="0"/>
              <w:widowControl w:val="0"/>
              <w:kinsoku/>
              <w:wordWrap/>
              <w:overflowPunct/>
              <w:topLinePunct w:val="0"/>
              <w:autoSpaceDE/>
              <w:autoSpaceDN/>
              <w:bidi w:val="0"/>
              <w:adjustRightInd w:val="0"/>
              <w:snapToGrid w:val="0"/>
              <w:spacing w:line="560" w:lineRule="exact"/>
              <w:ind w:firstLine="0" w:firstLineChars="0"/>
              <w:jc w:val="center"/>
              <w:textAlignment w:val="auto"/>
              <w:rPr>
                <w:rFonts w:hint="default" w:ascii="宋体" w:hAnsi="宋体" w:eastAsia="宋体" w:cs="宋体"/>
                <w:color w:val="auto"/>
                <w:sz w:val="18"/>
                <w:szCs w:val="18"/>
                <w:vertAlign w:val="baseline"/>
                <w:lang w:val="en-US" w:eastAsia="zh-CN"/>
              </w:rPr>
            </w:pPr>
            <w:r>
              <w:rPr>
                <w:rFonts w:hint="eastAsia" w:ascii="宋体" w:hAnsi="宋体" w:eastAsia="宋体" w:cs="宋体"/>
                <w:color w:val="auto"/>
                <w:sz w:val="18"/>
                <w:szCs w:val="18"/>
                <w:vertAlign w:val="baseline"/>
                <w:lang w:val="en-US" w:eastAsia="zh-CN"/>
              </w:rPr>
              <w:t>26</w:t>
            </w:r>
          </w:p>
        </w:tc>
        <w:tc>
          <w:tcPr>
            <w:tcW w:w="1491" w:type="dxa"/>
            <w:vAlign w:val="center"/>
          </w:tcPr>
          <w:p w14:paraId="584AE9E7">
            <w:pPr>
              <w:keepNext w:val="0"/>
              <w:keepLines w:val="0"/>
              <w:pageBreakBefore w:val="0"/>
              <w:widowControl w:val="0"/>
              <w:kinsoku/>
              <w:wordWrap/>
              <w:overflowPunct/>
              <w:topLinePunct w:val="0"/>
              <w:autoSpaceDE/>
              <w:autoSpaceDN/>
              <w:bidi w:val="0"/>
              <w:adjustRightInd w:val="0"/>
              <w:snapToGrid w:val="0"/>
              <w:spacing w:line="560" w:lineRule="exact"/>
              <w:ind w:firstLine="0" w:firstLineChars="0"/>
              <w:jc w:val="center"/>
              <w:textAlignment w:val="auto"/>
              <w:rPr>
                <w:rFonts w:hint="default" w:ascii="宋体" w:hAnsi="宋体" w:eastAsia="宋体" w:cs="宋体"/>
                <w:color w:val="auto"/>
                <w:sz w:val="18"/>
                <w:szCs w:val="18"/>
                <w:vertAlign w:val="baseline"/>
                <w:lang w:val="en-US" w:eastAsia="zh-CN"/>
              </w:rPr>
            </w:pPr>
            <w:r>
              <w:rPr>
                <w:rFonts w:hint="eastAsia" w:ascii="宋体" w:hAnsi="宋体" w:eastAsia="宋体" w:cs="宋体"/>
                <w:color w:val="auto"/>
                <w:sz w:val="18"/>
                <w:szCs w:val="18"/>
                <w:vertAlign w:val="baseline"/>
                <w:lang w:val="en-US" w:eastAsia="zh-CN"/>
              </w:rPr>
              <w:t>86</w:t>
            </w:r>
          </w:p>
        </w:tc>
        <w:tc>
          <w:tcPr>
            <w:tcW w:w="1491" w:type="dxa"/>
            <w:vAlign w:val="center"/>
          </w:tcPr>
          <w:p w14:paraId="26E08694">
            <w:pPr>
              <w:keepNext w:val="0"/>
              <w:keepLines w:val="0"/>
              <w:pageBreakBefore w:val="0"/>
              <w:widowControl w:val="0"/>
              <w:kinsoku/>
              <w:wordWrap/>
              <w:overflowPunct/>
              <w:topLinePunct w:val="0"/>
              <w:autoSpaceDE/>
              <w:autoSpaceDN/>
              <w:bidi w:val="0"/>
              <w:adjustRightInd w:val="0"/>
              <w:snapToGrid w:val="0"/>
              <w:spacing w:line="560" w:lineRule="exact"/>
              <w:ind w:firstLine="0" w:firstLineChars="0"/>
              <w:jc w:val="center"/>
              <w:textAlignment w:val="auto"/>
              <w:rPr>
                <w:rFonts w:hint="eastAsia" w:ascii="宋体" w:hAnsi="宋体" w:eastAsia="宋体" w:cs="宋体"/>
                <w:color w:val="auto"/>
                <w:sz w:val="18"/>
                <w:szCs w:val="18"/>
                <w:vertAlign w:val="baseline"/>
                <w:lang w:val="en-US" w:eastAsia="zh-CN"/>
              </w:rPr>
            </w:pPr>
            <w:r>
              <w:rPr>
                <w:rFonts w:hint="eastAsia" w:ascii="宋体" w:hAnsi="宋体" w:eastAsia="宋体" w:cs="宋体"/>
                <w:color w:val="auto"/>
                <w:sz w:val="18"/>
                <w:szCs w:val="18"/>
                <w:vertAlign w:val="baseline"/>
                <w:lang w:val="en-US" w:eastAsia="zh-CN"/>
              </w:rPr>
              <w:t>良好</w:t>
            </w:r>
          </w:p>
        </w:tc>
      </w:tr>
      <w:tr w14:paraId="1FFE78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93" w:type="dxa"/>
            <w:vAlign w:val="center"/>
          </w:tcPr>
          <w:p w14:paraId="09B08CCD">
            <w:pPr>
              <w:keepNext w:val="0"/>
              <w:keepLines w:val="0"/>
              <w:pageBreakBefore w:val="0"/>
              <w:widowControl/>
              <w:suppressLineNumbers w:val="0"/>
              <w:kinsoku/>
              <w:wordWrap/>
              <w:overflowPunct/>
              <w:topLinePunct w:val="0"/>
              <w:autoSpaceDE/>
              <w:autoSpaceDN/>
              <w:bidi w:val="0"/>
              <w:adjustRightInd/>
              <w:snapToGrid w:val="0"/>
              <w:spacing w:line="240" w:lineRule="exact"/>
              <w:ind w:left="0" w:leftChars="0" w:firstLine="0" w:firstLineChars="0"/>
              <w:jc w:val="center"/>
              <w:textAlignment w:val="center"/>
              <w:rPr>
                <w:rFonts w:hint="eastAsia" w:ascii="宋体" w:hAnsi="宋体" w:eastAsia="宋体" w:cs="宋体"/>
                <w:color w:val="auto"/>
                <w:sz w:val="18"/>
                <w:szCs w:val="18"/>
                <w:vertAlign w:val="baseline"/>
              </w:rPr>
            </w:pPr>
            <w:r>
              <w:rPr>
                <w:rFonts w:hint="eastAsia" w:ascii="仿宋" w:hAnsi="仿宋" w:eastAsia="仿宋" w:cs="仿宋"/>
                <w:i w:val="0"/>
                <w:iCs w:val="0"/>
                <w:color w:val="000000"/>
                <w:kern w:val="0"/>
                <w:sz w:val="21"/>
                <w:szCs w:val="21"/>
                <w:u w:val="none"/>
                <w:lang w:val="en-US" w:eastAsia="zh-CN" w:bidi="ar"/>
              </w:rPr>
              <w:t>创新中国——告别刀耕火种，走进智慧农业</w:t>
            </w:r>
          </w:p>
        </w:tc>
        <w:tc>
          <w:tcPr>
            <w:tcW w:w="1491" w:type="dxa"/>
            <w:vAlign w:val="center"/>
          </w:tcPr>
          <w:p w14:paraId="67773C0D">
            <w:pPr>
              <w:keepNext w:val="0"/>
              <w:keepLines w:val="0"/>
              <w:pageBreakBefore w:val="0"/>
              <w:widowControl w:val="0"/>
              <w:kinsoku/>
              <w:wordWrap/>
              <w:overflowPunct/>
              <w:topLinePunct w:val="0"/>
              <w:autoSpaceDE/>
              <w:autoSpaceDN/>
              <w:bidi w:val="0"/>
              <w:adjustRightInd w:val="0"/>
              <w:snapToGrid w:val="0"/>
              <w:spacing w:line="560" w:lineRule="exact"/>
              <w:ind w:firstLine="0" w:firstLineChars="0"/>
              <w:jc w:val="center"/>
              <w:textAlignment w:val="auto"/>
              <w:rPr>
                <w:rFonts w:hint="default" w:ascii="宋体" w:hAnsi="宋体" w:eastAsia="宋体" w:cs="宋体"/>
                <w:color w:val="auto"/>
                <w:sz w:val="18"/>
                <w:szCs w:val="18"/>
                <w:vertAlign w:val="baseline"/>
                <w:lang w:val="en-US" w:eastAsia="zh-CN"/>
              </w:rPr>
            </w:pPr>
            <w:r>
              <w:rPr>
                <w:rFonts w:hint="eastAsia" w:ascii="宋体" w:hAnsi="宋体" w:eastAsia="宋体" w:cs="宋体"/>
                <w:color w:val="auto"/>
                <w:sz w:val="18"/>
                <w:szCs w:val="18"/>
                <w:vertAlign w:val="baseline"/>
                <w:lang w:val="en-US" w:eastAsia="zh-CN"/>
              </w:rPr>
              <w:t>35</w:t>
            </w:r>
          </w:p>
        </w:tc>
        <w:tc>
          <w:tcPr>
            <w:tcW w:w="1491" w:type="dxa"/>
            <w:vAlign w:val="center"/>
          </w:tcPr>
          <w:p w14:paraId="6465D105">
            <w:pPr>
              <w:keepNext w:val="0"/>
              <w:keepLines w:val="0"/>
              <w:pageBreakBefore w:val="0"/>
              <w:widowControl w:val="0"/>
              <w:kinsoku/>
              <w:wordWrap/>
              <w:overflowPunct/>
              <w:topLinePunct w:val="0"/>
              <w:autoSpaceDE/>
              <w:autoSpaceDN/>
              <w:bidi w:val="0"/>
              <w:adjustRightInd w:val="0"/>
              <w:snapToGrid w:val="0"/>
              <w:spacing w:line="560" w:lineRule="exact"/>
              <w:ind w:firstLine="0" w:firstLineChars="0"/>
              <w:jc w:val="center"/>
              <w:textAlignment w:val="auto"/>
              <w:rPr>
                <w:rFonts w:hint="default" w:ascii="宋体" w:hAnsi="宋体" w:eastAsia="宋体" w:cs="宋体"/>
                <w:color w:val="auto"/>
                <w:sz w:val="18"/>
                <w:szCs w:val="18"/>
                <w:vertAlign w:val="baseline"/>
                <w:lang w:val="en-US" w:eastAsia="zh-CN"/>
              </w:rPr>
            </w:pPr>
            <w:r>
              <w:rPr>
                <w:rFonts w:hint="eastAsia" w:ascii="宋体" w:hAnsi="宋体" w:eastAsia="宋体" w:cs="宋体"/>
                <w:color w:val="auto"/>
                <w:sz w:val="18"/>
                <w:szCs w:val="18"/>
                <w:vertAlign w:val="baseline"/>
                <w:lang w:val="en-US" w:eastAsia="zh-CN"/>
              </w:rPr>
              <w:t>27</w:t>
            </w:r>
          </w:p>
        </w:tc>
        <w:tc>
          <w:tcPr>
            <w:tcW w:w="1491" w:type="dxa"/>
            <w:vAlign w:val="center"/>
          </w:tcPr>
          <w:p w14:paraId="36CA74ED">
            <w:pPr>
              <w:keepNext w:val="0"/>
              <w:keepLines w:val="0"/>
              <w:pageBreakBefore w:val="0"/>
              <w:widowControl w:val="0"/>
              <w:kinsoku/>
              <w:wordWrap/>
              <w:overflowPunct/>
              <w:topLinePunct w:val="0"/>
              <w:autoSpaceDE/>
              <w:autoSpaceDN/>
              <w:bidi w:val="0"/>
              <w:adjustRightInd w:val="0"/>
              <w:snapToGrid w:val="0"/>
              <w:spacing w:line="560" w:lineRule="exact"/>
              <w:ind w:firstLine="0" w:firstLineChars="0"/>
              <w:jc w:val="center"/>
              <w:textAlignment w:val="auto"/>
              <w:rPr>
                <w:rFonts w:hint="default" w:ascii="宋体" w:hAnsi="宋体" w:eastAsia="宋体" w:cs="宋体"/>
                <w:color w:val="auto"/>
                <w:sz w:val="18"/>
                <w:szCs w:val="18"/>
                <w:vertAlign w:val="baseline"/>
                <w:lang w:val="en-US" w:eastAsia="zh-CN"/>
              </w:rPr>
            </w:pPr>
            <w:r>
              <w:rPr>
                <w:rFonts w:hint="eastAsia" w:ascii="宋体" w:hAnsi="宋体" w:eastAsia="宋体" w:cs="宋体"/>
                <w:color w:val="auto"/>
                <w:sz w:val="18"/>
                <w:szCs w:val="18"/>
                <w:vertAlign w:val="baseline"/>
                <w:lang w:val="en-US" w:eastAsia="zh-CN"/>
              </w:rPr>
              <w:t>25</w:t>
            </w:r>
          </w:p>
        </w:tc>
        <w:tc>
          <w:tcPr>
            <w:tcW w:w="1491" w:type="dxa"/>
            <w:vAlign w:val="center"/>
          </w:tcPr>
          <w:p w14:paraId="18DC7A3D">
            <w:pPr>
              <w:keepNext w:val="0"/>
              <w:keepLines w:val="0"/>
              <w:pageBreakBefore w:val="0"/>
              <w:widowControl w:val="0"/>
              <w:kinsoku/>
              <w:wordWrap/>
              <w:overflowPunct/>
              <w:topLinePunct w:val="0"/>
              <w:autoSpaceDE/>
              <w:autoSpaceDN/>
              <w:bidi w:val="0"/>
              <w:adjustRightInd w:val="0"/>
              <w:snapToGrid w:val="0"/>
              <w:spacing w:line="560" w:lineRule="exact"/>
              <w:ind w:firstLine="0" w:firstLineChars="0"/>
              <w:jc w:val="center"/>
              <w:textAlignment w:val="auto"/>
              <w:rPr>
                <w:rFonts w:hint="default" w:ascii="宋体" w:hAnsi="宋体" w:eastAsia="宋体" w:cs="宋体"/>
                <w:color w:val="auto"/>
                <w:sz w:val="18"/>
                <w:szCs w:val="18"/>
                <w:vertAlign w:val="baseline"/>
                <w:lang w:val="en-US" w:eastAsia="zh-CN"/>
              </w:rPr>
            </w:pPr>
            <w:r>
              <w:rPr>
                <w:rFonts w:hint="eastAsia" w:ascii="宋体" w:hAnsi="宋体" w:eastAsia="宋体" w:cs="宋体"/>
                <w:color w:val="auto"/>
                <w:sz w:val="18"/>
                <w:szCs w:val="18"/>
                <w:vertAlign w:val="baseline"/>
                <w:lang w:val="en-US" w:eastAsia="zh-CN"/>
              </w:rPr>
              <w:t>87</w:t>
            </w:r>
          </w:p>
        </w:tc>
        <w:tc>
          <w:tcPr>
            <w:tcW w:w="1491" w:type="dxa"/>
            <w:vAlign w:val="center"/>
          </w:tcPr>
          <w:p w14:paraId="6B9FDC68">
            <w:pPr>
              <w:keepNext w:val="0"/>
              <w:keepLines w:val="0"/>
              <w:pageBreakBefore w:val="0"/>
              <w:widowControl w:val="0"/>
              <w:kinsoku/>
              <w:wordWrap/>
              <w:overflowPunct/>
              <w:topLinePunct w:val="0"/>
              <w:autoSpaceDE/>
              <w:autoSpaceDN/>
              <w:bidi w:val="0"/>
              <w:adjustRightInd w:val="0"/>
              <w:snapToGrid w:val="0"/>
              <w:spacing w:line="560" w:lineRule="exact"/>
              <w:ind w:firstLine="0" w:firstLineChars="0"/>
              <w:jc w:val="center"/>
              <w:textAlignment w:val="auto"/>
              <w:rPr>
                <w:rFonts w:hint="eastAsia" w:ascii="宋体" w:hAnsi="宋体" w:eastAsia="宋体" w:cs="宋体"/>
                <w:color w:val="auto"/>
                <w:sz w:val="18"/>
                <w:szCs w:val="18"/>
                <w:vertAlign w:val="baseline"/>
                <w:lang w:val="en-US" w:eastAsia="zh-CN"/>
              </w:rPr>
            </w:pPr>
            <w:r>
              <w:rPr>
                <w:rFonts w:hint="eastAsia" w:ascii="宋体" w:hAnsi="宋体" w:eastAsia="宋体" w:cs="宋体"/>
                <w:color w:val="auto"/>
                <w:sz w:val="18"/>
                <w:szCs w:val="18"/>
                <w:vertAlign w:val="baseline"/>
                <w:lang w:val="en-US" w:eastAsia="zh-CN"/>
              </w:rPr>
              <w:t>良好</w:t>
            </w:r>
          </w:p>
        </w:tc>
      </w:tr>
      <w:tr w14:paraId="128154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93" w:type="dxa"/>
            <w:vAlign w:val="center"/>
          </w:tcPr>
          <w:p w14:paraId="0E549BF5">
            <w:pPr>
              <w:keepNext w:val="0"/>
              <w:keepLines w:val="0"/>
              <w:pageBreakBefore w:val="0"/>
              <w:widowControl/>
              <w:suppressLineNumbers w:val="0"/>
              <w:kinsoku/>
              <w:wordWrap/>
              <w:overflowPunct/>
              <w:topLinePunct w:val="0"/>
              <w:autoSpaceDE/>
              <w:autoSpaceDN/>
              <w:bidi w:val="0"/>
              <w:adjustRightInd/>
              <w:snapToGrid w:val="0"/>
              <w:spacing w:line="240" w:lineRule="exact"/>
              <w:ind w:left="0" w:leftChars="0" w:firstLine="0" w:firstLineChars="0"/>
              <w:jc w:val="center"/>
              <w:textAlignment w:val="center"/>
              <w:rPr>
                <w:rFonts w:hint="eastAsia" w:ascii="宋体" w:hAnsi="宋体" w:eastAsia="宋体" w:cs="宋体"/>
                <w:color w:val="auto"/>
                <w:sz w:val="18"/>
                <w:szCs w:val="18"/>
                <w:vertAlign w:val="baseline"/>
              </w:rPr>
            </w:pPr>
            <w:r>
              <w:rPr>
                <w:rFonts w:hint="eastAsia" w:ascii="仿宋" w:hAnsi="仿宋" w:eastAsia="仿宋" w:cs="仿宋"/>
                <w:i w:val="0"/>
                <w:iCs w:val="0"/>
                <w:color w:val="000000"/>
                <w:kern w:val="0"/>
                <w:sz w:val="21"/>
                <w:szCs w:val="21"/>
                <w:u w:val="none"/>
                <w:lang w:val="en-US" w:eastAsia="zh-CN" w:bidi="ar"/>
              </w:rPr>
              <w:t>碳索未来——环保卫士，向绿而行</w:t>
            </w:r>
          </w:p>
        </w:tc>
        <w:tc>
          <w:tcPr>
            <w:tcW w:w="1491" w:type="dxa"/>
            <w:vAlign w:val="center"/>
          </w:tcPr>
          <w:p w14:paraId="3BC436C1">
            <w:pPr>
              <w:keepNext w:val="0"/>
              <w:keepLines w:val="0"/>
              <w:pageBreakBefore w:val="0"/>
              <w:widowControl w:val="0"/>
              <w:kinsoku/>
              <w:wordWrap/>
              <w:overflowPunct/>
              <w:topLinePunct w:val="0"/>
              <w:autoSpaceDE/>
              <w:autoSpaceDN/>
              <w:bidi w:val="0"/>
              <w:adjustRightInd w:val="0"/>
              <w:snapToGrid w:val="0"/>
              <w:spacing w:line="560" w:lineRule="exact"/>
              <w:ind w:firstLine="0" w:firstLineChars="0"/>
              <w:jc w:val="center"/>
              <w:textAlignment w:val="auto"/>
              <w:rPr>
                <w:rFonts w:hint="default" w:ascii="宋体" w:hAnsi="宋体" w:eastAsia="宋体" w:cs="宋体"/>
                <w:color w:val="auto"/>
                <w:sz w:val="18"/>
                <w:szCs w:val="18"/>
                <w:vertAlign w:val="baseline"/>
                <w:lang w:val="en-US" w:eastAsia="zh-CN"/>
              </w:rPr>
            </w:pPr>
            <w:r>
              <w:rPr>
                <w:rFonts w:hint="eastAsia" w:ascii="宋体" w:hAnsi="宋体" w:eastAsia="宋体" w:cs="宋体"/>
                <w:color w:val="auto"/>
                <w:sz w:val="18"/>
                <w:szCs w:val="18"/>
                <w:vertAlign w:val="baseline"/>
                <w:lang w:val="en-US" w:eastAsia="zh-CN"/>
              </w:rPr>
              <w:t>36</w:t>
            </w:r>
          </w:p>
        </w:tc>
        <w:tc>
          <w:tcPr>
            <w:tcW w:w="1491" w:type="dxa"/>
            <w:vAlign w:val="center"/>
          </w:tcPr>
          <w:p w14:paraId="3A7B20A9">
            <w:pPr>
              <w:keepNext w:val="0"/>
              <w:keepLines w:val="0"/>
              <w:pageBreakBefore w:val="0"/>
              <w:widowControl w:val="0"/>
              <w:kinsoku/>
              <w:wordWrap/>
              <w:overflowPunct/>
              <w:topLinePunct w:val="0"/>
              <w:autoSpaceDE/>
              <w:autoSpaceDN/>
              <w:bidi w:val="0"/>
              <w:adjustRightInd w:val="0"/>
              <w:snapToGrid w:val="0"/>
              <w:spacing w:line="560" w:lineRule="exact"/>
              <w:ind w:firstLine="0" w:firstLineChars="0"/>
              <w:jc w:val="center"/>
              <w:textAlignment w:val="auto"/>
              <w:rPr>
                <w:rFonts w:hint="default" w:ascii="宋体" w:hAnsi="宋体" w:eastAsia="宋体" w:cs="宋体"/>
                <w:color w:val="auto"/>
                <w:sz w:val="18"/>
                <w:szCs w:val="18"/>
                <w:vertAlign w:val="baseline"/>
                <w:lang w:val="en-US" w:eastAsia="zh-CN"/>
              </w:rPr>
            </w:pPr>
            <w:r>
              <w:rPr>
                <w:rFonts w:hint="eastAsia" w:ascii="宋体" w:hAnsi="宋体" w:eastAsia="宋体" w:cs="宋体"/>
                <w:color w:val="auto"/>
                <w:sz w:val="18"/>
                <w:szCs w:val="18"/>
                <w:vertAlign w:val="baseline"/>
                <w:lang w:val="en-US" w:eastAsia="zh-CN"/>
              </w:rPr>
              <w:t>28</w:t>
            </w:r>
          </w:p>
        </w:tc>
        <w:tc>
          <w:tcPr>
            <w:tcW w:w="1491" w:type="dxa"/>
            <w:vAlign w:val="center"/>
          </w:tcPr>
          <w:p w14:paraId="2C23FDA1">
            <w:pPr>
              <w:keepNext w:val="0"/>
              <w:keepLines w:val="0"/>
              <w:pageBreakBefore w:val="0"/>
              <w:widowControl w:val="0"/>
              <w:kinsoku/>
              <w:wordWrap/>
              <w:overflowPunct/>
              <w:topLinePunct w:val="0"/>
              <w:autoSpaceDE/>
              <w:autoSpaceDN/>
              <w:bidi w:val="0"/>
              <w:adjustRightInd w:val="0"/>
              <w:snapToGrid w:val="0"/>
              <w:spacing w:line="560" w:lineRule="exact"/>
              <w:ind w:firstLine="0" w:firstLineChars="0"/>
              <w:jc w:val="center"/>
              <w:textAlignment w:val="auto"/>
              <w:rPr>
                <w:rFonts w:hint="default" w:ascii="宋体" w:hAnsi="宋体" w:eastAsia="宋体" w:cs="宋体"/>
                <w:color w:val="auto"/>
                <w:sz w:val="18"/>
                <w:szCs w:val="18"/>
                <w:vertAlign w:val="baseline"/>
                <w:lang w:val="en-US" w:eastAsia="zh-CN"/>
              </w:rPr>
            </w:pPr>
            <w:r>
              <w:rPr>
                <w:rFonts w:hint="eastAsia" w:ascii="宋体" w:hAnsi="宋体" w:eastAsia="宋体" w:cs="宋体"/>
                <w:color w:val="auto"/>
                <w:sz w:val="18"/>
                <w:szCs w:val="18"/>
                <w:vertAlign w:val="baseline"/>
                <w:lang w:val="en-US" w:eastAsia="zh-CN"/>
              </w:rPr>
              <w:t>28</w:t>
            </w:r>
          </w:p>
        </w:tc>
        <w:tc>
          <w:tcPr>
            <w:tcW w:w="1491" w:type="dxa"/>
            <w:vAlign w:val="center"/>
          </w:tcPr>
          <w:p w14:paraId="4044EFF8">
            <w:pPr>
              <w:keepNext w:val="0"/>
              <w:keepLines w:val="0"/>
              <w:pageBreakBefore w:val="0"/>
              <w:widowControl w:val="0"/>
              <w:kinsoku/>
              <w:wordWrap/>
              <w:overflowPunct/>
              <w:topLinePunct w:val="0"/>
              <w:autoSpaceDE/>
              <w:autoSpaceDN/>
              <w:bidi w:val="0"/>
              <w:adjustRightInd w:val="0"/>
              <w:snapToGrid w:val="0"/>
              <w:spacing w:line="560" w:lineRule="exact"/>
              <w:ind w:firstLine="0" w:firstLineChars="0"/>
              <w:jc w:val="center"/>
              <w:textAlignment w:val="auto"/>
              <w:rPr>
                <w:rFonts w:hint="default" w:ascii="宋体" w:hAnsi="宋体" w:eastAsia="宋体" w:cs="宋体"/>
                <w:color w:val="auto"/>
                <w:sz w:val="18"/>
                <w:szCs w:val="18"/>
                <w:vertAlign w:val="baseline"/>
                <w:lang w:val="en-US" w:eastAsia="zh-CN"/>
              </w:rPr>
            </w:pPr>
            <w:r>
              <w:rPr>
                <w:rFonts w:hint="eastAsia" w:ascii="宋体" w:hAnsi="宋体" w:eastAsia="宋体" w:cs="宋体"/>
                <w:color w:val="auto"/>
                <w:sz w:val="18"/>
                <w:szCs w:val="18"/>
                <w:vertAlign w:val="baseline"/>
                <w:lang w:val="en-US" w:eastAsia="zh-CN"/>
              </w:rPr>
              <w:t>92</w:t>
            </w:r>
          </w:p>
        </w:tc>
        <w:tc>
          <w:tcPr>
            <w:tcW w:w="1491" w:type="dxa"/>
            <w:vAlign w:val="center"/>
          </w:tcPr>
          <w:p w14:paraId="49F0933F">
            <w:pPr>
              <w:keepNext w:val="0"/>
              <w:keepLines w:val="0"/>
              <w:pageBreakBefore w:val="0"/>
              <w:widowControl w:val="0"/>
              <w:kinsoku/>
              <w:wordWrap/>
              <w:overflowPunct/>
              <w:topLinePunct w:val="0"/>
              <w:autoSpaceDE/>
              <w:autoSpaceDN/>
              <w:bidi w:val="0"/>
              <w:adjustRightInd w:val="0"/>
              <w:snapToGrid w:val="0"/>
              <w:spacing w:line="560" w:lineRule="exact"/>
              <w:ind w:firstLine="0" w:firstLineChars="0"/>
              <w:jc w:val="center"/>
              <w:textAlignment w:val="auto"/>
              <w:rPr>
                <w:rFonts w:hint="eastAsia" w:ascii="宋体" w:hAnsi="宋体" w:eastAsia="宋体" w:cs="宋体"/>
                <w:color w:val="auto"/>
                <w:sz w:val="18"/>
                <w:szCs w:val="18"/>
                <w:vertAlign w:val="baseline"/>
                <w:lang w:val="en-US" w:eastAsia="zh-CN"/>
              </w:rPr>
            </w:pPr>
            <w:r>
              <w:rPr>
                <w:rFonts w:hint="eastAsia" w:ascii="宋体" w:hAnsi="宋体" w:eastAsia="宋体" w:cs="宋体"/>
                <w:color w:val="auto"/>
                <w:sz w:val="18"/>
                <w:szCs w:val="18"/>
                <w:vertAlign w:val="baseline"/>
                <w:lang w:val="en-US" w:eastAsia="zh-CN"/>
              </w:rPr>
              <w:t>优秀</w:t>
            </w:r>
          </w:p>
        </w:tc>
      </w:tr>
      <w:tr w14:paraId="6A7FC7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93" w:type="dxa"/>
            <w:vAlign w:val="center"/>
          </w:tcPr>
          <w:p w14:paraId="797ABF03">
            <w:pPr>
              <w:keepNext w:val="0"/>
              <w:keepLines w:val="0"/>
              <w:pageBreakBefore w:val="0"/>
              <w:widowControl/>
              <w:suppressLineNumbers w:val="0"/>
              <w:kinsoku/>
              <w:wordWrap/>
              <w:overflowPunct/>
              <w:topLinePunct w:val="0"/>
              <w:autoSpaceDE/>
              <w:autoSpaceDN/>
              <w:bidi w:val="0"/>
              <w:adjustRightInd/>
              <w:snapToGrid w:val="0"/>
              <w:spacing w:line="240" w:lineRule="exact"/>
              <w:ind w:left="0" w:leftChars="0" w:firstLine="0" w:firstLineChars="0"/>
              <w:jc w:val="center"/>
              <w:textAlignment w:val="center"/>
              <w:rPr>
                <w:rFonts w:hint="eastAsia" w:ascii="宋体" w:hAnsi="宋体" w:eastAsia="宋体" w:cs="宋体"/>
                <w:color w:val="auto"/>
                <w:sz w:val="18"/>
                <w:szCs w:val="18"/>
                <w:vertAlign w:val="baseline"/>
              </w:rPr>
            </w:pPr>
            <w:r>
              <w:rPr>
                <w:rFonts w:hint="eastAsia" w:ascii="仿宋" w:hAnsi="仿宋" w:eastAsia="仿宋" w:cs="仿宋"/>
                <w:i w:val="0"/>
                <w:iCs w:val="0"/>
                <w:color w:val="000000"/>
                <w:kern w:val="0"/>
                <w:sz w:val="21"/>
                <w:szCs w:val="21"/>
                <w:u w:val="none"/>
                <w:lang w:val="en-US" w:eastAsia="zh-CN" w:bidi="ar"/>
              </w:rPr>
              <w:t>遇见“布”一样——五彩斑斓的非遗结晶</w:t>
            </w:r>
          </w:p>
        </w:tc>
        <w:tc>
          <w:tcPr>
            <w:tcW w:w="1491" w:type="dxa"/>
            <w:vAlign w:val="center"/>
          </w:tcPr>
          <w:p w14:paraId="5004F9D3">
            <w:pPr>
              <w:keepNext w:val="0"/>
              <w:keepLines w:val="0"/>
              <w:pageBreakBefore w:val="0"/>
              <w:widowControl w:val="0"/>
              <w:kinsoku/>
              <w:wordWrap/>
              <w:overflowPunct/>
              <w:topLinePunct w:val="0"/>
              <w:autoSpaceDE/>
              <w:autoSpaceDN/>
              <w:bidi w:val="0"/>
              <w:adjustRightInd w:val="0"/>
              <w:snapToGrid w:val="0"/>
              <w:spacing w:line="560" w:lineRule="exact"/>
              <w:ind w:firstLine="0" w:firstLineChars="0"/>
              <w:jc w:val="center"/>
              <w:textAlignment w:val="auto"/>
              <w:rPr>
                <w:rFonts w:hint="default" w:ascii="宋体" w:hAnsi="宋体" w:eastAsia="宋体" w:cs="宋体"/>
                <w:color w:val="auto"/>
                <w:sz w:val="18"/>
                <w:szCs w:val="18"/>
                <w:vertAlign w:val="baseline"/>
                <w:lang w:val="en-US" w:eastAsia="zh-CN"/>
              </w:rPr>
            </w:pPr>
            <w:r>
              <w:rPr>
                <w:rFonts w:hint="eastAsia" w:ascii="宋体" w:hAnsi="宋体" w:eastAsia="宋体" w:cs="宋体"/>
                <w:color w:val="auto"/>
                <w:sz w:val="18"/>
                <w:szCs w:val="18"/>
                <w:vertAlign w:val="baseline"/>
                <w:lang w:val="en-US" w:eastAsia="zh-CN"/>
              </w:rPr>
              <w:t>35</w:t>
            </w:r>
          </w:p>
        </w:tc>
        <w:tc>
          <w:tcPr>
            <w:tcW w:w="1491" w:type="dxa"/>
            <w:vAlign w:val="center"/>
          </w:tcPr>
          <w:p w14:paraId="717B9503">
            <w:pPr>
              <w:keepNext w:val="0"/>
              <w:keepLines w:val="0"/>
              <w:pageBreakBefore w:val="0"/>
              <w:widowControl w:val="0"/>
              <w:kinsoku/>
              <w:wordWrap/>
              <w:overflowPunct/>
              <w:topLinePunct w:val="0"/>
              <w:autoSpaceDE/>
              <w:autoSpaceDN/>
              <w:bidi w:val="0"/>
              <w:adjustRightInd w:val="0"/>
              <w:snapToGrid w:val="0"/>
              <w:spacing w:line="560" w:lineRule="exact"/>
              <w:ind w:firstLine="0" w:firstLineChars="0"/>
              <w:jc w:val="center"/>
              <w:textAlignment w:val="auto"/>
              <w:rPr>
                <w:rFonts w:hint="default" w:ascii="宋体" w:hAnsi="宋体" w:eastAsia="宋体" w:cs="宋体"/>
                <w:color w:val="auto"/>
                <w:sz w:val="18"/>
                <w:szCs w:val="18"/>
                <w:vertAlign w:val="baseline"/>
                <w:lang w:val="en-US" w:eastAsia="zh-CN"/>
              </w:rPr>
            </w:pPr>
            <w:r>
              <w:rPr>
                <w:rFonts w:hint="eastAsia" w:ascii="宋体" w:hAnsi="宋体" w:eastAsia="宋体" w:cs="宋体"/>
                <w:color w:val="auto"/>
                <w:sz w:val="18"/>
                <w:szCs w:val="18"/>
                <w:vertAlign w:val="baseline"/>
                <w:lang w:val="en-US" w:eastAsia="zh-CN"/>
              </w:rPr>
              <w:t>29</w:t>
            </w:r>
          </w:p>
        </w:tc>
        <w:tc>
          <w:tcPr>
            <w:tcW w:w="1491" w:type="dxa"/>
            <w:vAlign w:val="center"/>
          </w:tcPr>
          <w:p w14:paraId="412E6BD9">
            <w:pPr>
              <w:keepNext w:val="0"/>
              <w:keepLines w:val="0"/>
              <w:pageBreakBefore w:val="0"/>
              <w:widowControl w:val="0"/>
              <w:kinsoku/>
              <w:wordWrap/>
              <w:overflowPunct/>
              <w:topLinePunct w:val="0"/>
              <w:autoSpaceDE/>
              <w:autoSpaceDN/>
              <w:bidi w:val="0"/>
              <w:adjustRightInd w:val="0"/>
              <w:snapToGrid w:val="0"/>
              <w:spacing w:line="560" w:lineRule="exact"/>
              <w:ind w:firstLine="0" w:firstLineChars="0"/>
              <w:jc w:val="center"/>
              <w:textAlignment w:val="auto"/>
              <w:rPr>
                <w:rFonts w:hint="default" w:ascii="宋体" w:hAnsi="宋体" w:eastAsia="宋体" w:cs="宋体"/>
                <w:color w:val="auto"/>
                <w:sz w:val="18"/>
                <w:szCs w:val="18"/>
                <w:vertAlign w:val="baseline"/>
                <w:lang w:val="en-US" w:eastAsia="zh-CN"/>
              </w:rPr>
            </w:pPr>
            <w:r>
              <w:rPr>
                <w:rFonts w:hint="eastAsia" w:ascii="宋体" w:hAnsi="宋体" w:eastAsia="宋体" w:cs="宋体"/>
                <w:color w:val="auto"/>
                <w:sz w:val="18"/>
                <w:szCs w:val="18"/>
                <w:vertAlign w:val="baseline"/>
                <w:lang w:val="en-US" w:eastAsia="zh-CN"/>
              </w:rPr>
              <w:t>29</w:t>
            </w:r>
          </w:p>
        </w:tc>
        <w:tc>
          <w:tcPr>
            <w:tcW w:w="1491" w:type="dxa"/>
            <w:vAlign w:val="center"/>
          </w:tcPr>
          <w:p w14:paraId="10A48284">
            <w:pPr>
              <w:keepNext w:val="0"/>
              <w:keepLines w:val="0"/>
              <w:pageBreakBefore w:val="0"/>
              <w:widowControl w:val="0"/>
              <w:kinsoku/>
              <w:wordWrap/>
              <w:overflowPunct/>
              <w:topLinePunct w:val="0"/>
              <w:autoSpaceDE/>
              <w:autoSpaceDN/>
              <w:bidi w:val="0"/>
              <w:adjustRightInd w:val="0"/>
              <w:snapToGrid w:val="0"/>
              <w:spacing w:line="560" w:lineRule="exact"/>
              <w:ind w:firstLine="0" w:firstLineChars="0"/>
              <w:jc w:val="center"/>
              <w:textAlignment w:val="auto"/>
              <w:rPr>
                <w:rFonts w:hint="default" w:ascii="宋体" w:hAnsi="宋体" w:eastAsia="宋体" w:cs="宋体"/>
                <w:color w:val="auto"/>
                <w:sz w:val="18"/>
                <w:szCs w:val="18"/>
                <w:vertAlign w:val="baseline"/>
                <w:lang w:val="en-US" w:eastAsia="zh-CN"/>
              </w:rPr>
            </w:pPr>
            <w:r>
              <w:rPr>
                <w:rFonts w:hint="eastAsia" w:ascii="宋体" w:hAnsi="宋体" w:eastAsia="宋体" w:cs="宋体"/>
                <w:color w:val="auto"/>
                <w:sz w:val="18"/>
                <w:szCs w:val="18"/>
                <w:vertAlign w:val="baseline"/>
                <w:lang w:val="en-US" w:eastAsia="zh-CN"/>
              </w:rPr>
              <w:t>93</w:t>
            </w:r>
          </w:p>
        </w:tc>
        <w:tc>
          <w:tcPr>
            <w:tcW w:w="1491" w:type="dxa"/>
            <w:vAlign w:val="center"/>
          </w:tcPr>
          <w:p w14:paraId="3070D7DE">
            <w:pPr>
              <w:keepNext w:val="0"/>
              <w:keepLines w:val="0"/>
              <w:pageBreakBefore w:val="0"/>
              <w:widowControl w:val="0"/>
              <w:kinsoku/>
              <w:wordWrap/>
              <w:overflowPunct/>
              <w:topLinePunct w:val="0"/>
              <w:autoSpaceDE/>
              <w:autoSpaceDN/>
              <w:bidi w:val="0"/>
              <w:adjustRightInd w:val="0"/>
              <w:snapToGrid w:val="0"/>
              <w:spacing w:line="560" w:lineRule="exact"/>
              <w:ind w:firstLine="0" w:firstLineChars="0"/>
              <w:jc w:val="center"/>
              <w:textAlignment w:val="auto"/>
              <w:rPr>
                <w:rFonts w:hint="eastAsia" w:ascii="宋体" w:hAnsi="宋体" w:eastAsia="宋体" w:cs="宋体"/>
                <w:color w:val="auto"/>
                <w:sz w:val="18"/>
                <w:szCs w:val="18"/>
                <w:vertAlign w:val="baseline"/>
                <w:lang w:val="en-US" w:eastAsia="zh-CN"/>
              </w:rPr>
            </w:pPr>
            <w:r>
              <w:rPr>
                <w:rFonts w:hint="eastAsia" w:ascii="宋体" w:hAnsi="宋体" w:eastAsia="宋体" w:cs="宋体"/>
                <w:color w:val="auto"/>
                <w:sz w:val="18"/>
                <w:szCs w:val="18"/>
                <w:vertAlign w:val="baseline"/>
                <w:lang w:val="en-US" w:eastAsia="zh-CN"/>
              </w:rPr>
              <w:t>优秀</w:t>
            </w:r>
          </w:p>
        </w:tc>
      </w:tr>
      <w:tr w14:paraId="0AAF18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93" w:type="dxa"/>
            <w:vAlign w:val="center"/>
          </w:tcPr>
          <w:p w14:paraId="77EBB79E">
            <w:pPr>
              <w:keepNext w:val="0"/>
              <w:keepLines w:val="0"/>
              <w:pageBreakBefore w:val="0"/>
              <w:widowControl/>
              <w:suppressLineNumbers w:val="0"/>
              <w:kinsoku/>
              <w:wordWrap/>
              <w:overflowPunct/>
              <w:topLinePunct w:val="0"/>
              <w:autoSpaceDE/>
              <w:autoSpaceDN/>
              <w:bidi w:val="0"/>
              <w:adjustRightInd/>
              <w:snapToGrid w:val="0"/>
              <w:spacing w:line="240" w:lineRule="exact"/>
              <w:ind w:left="0" w:leftChars="0" w:firstLine="0" w:firstLineChars="0"/>
              <w:jc w:val="center"/>
              <w:textAlignment w:val="center"/>
              <w:rPr>
                <w:rFonts w:hint="eastAsia" w:ascii="宋体" w:hAnsi="宋体" w:eastAsia="宋体" w:cs="宋体"/>
                <w:color w:val="auto"/>
                <w:sz w:val="18"/>
                <w:szCs w:val="18"/>
                <w:vertAlign w:val="baseline"/>
              </w:rPr>
            </w:pPr>
            <w:r>
              <w:rPr>
                <w:rFonts w:hint="eastAsia" w:ascii="仿宋" w:hAnsi="仿宋" w:eastAsia="仿宋" w:cs="仿宋"/>
                <w:i w:val="0"/>
                <w:iCs w:val="0"/>
                <w:color w:val="000000"/>
                <w:kern w:val="0"/>
                <w:sz w:val="21"/>
                <w:szCs w:val="21"/>
                <w:u w:val="none"/>
                <w:lang w:val="en-US" w:eastAsia="zh-CN" w:bidi="ar"/>
              </w:rPr>
              <w:t>走进木薯——“薯”你最棒</w:t>
            </w:r>
          </w:p>
        </w:tc>
        <w:tc>
          <w:tcPr>
            <w:tcW w:w="1491" w:type="dxa"/>
            <w:vAlign w:val="center"/>
          </w:tcPr>
          <w:p w14:paraId="741BBE14">
            <w:pPr>
              <w:keepNext w:val="0"/>
              <w:keepLines w:val="0"/>
              <w:pageBreakBefore w:val="0"/>
              <w:widowControl w:val="0"/>
              <w:kinsoku/>
              <w:wordWrap/>
              <w:overflowPunct/>
              <w:topLinePunct w:val="0"/>
              <w:autoSpaceDE/>
              <w:autoSpaceDN/>
              <w:bidi w:val="0"/>
              <w:adjustRightInd w:val="0"/>
              <w:snapToGrid w:val="0"/>
              <w:spacing w:line="560" w:lineRule="exact"/>
              <w:ind w:firstLine="0" w:firstLineChars="0"/>
              <w:jc w:val="center"/>
              <w:textAlignment w:val="auto"/>
              <w:rPr>
                <w:rFonts w:hint="default" w:ascii="宋体" w:hAnsi="宋体" w:eastAsia="宋体" w:cs="宋体"/>
                <w:color w:val="auto"/>
                <w:sz w:val="18"/>
                <w:szCs w:val="18"/>
                <w:vertAlign w:val="baseline"/>
                <w:lang w:val="en-US" w:eastAsia="zh-CN"/>
              </w:rPr>
            </w:pPr>
            <w:r>
              <w:rPr>
                <w:rFonts w:hint="eastAsia" w:ascii="宋体" w:hAnsi="宋体" w:eastAsia="宋体" w:cs="宋体"/>
                <w:color w:val="auto"/>
                <w:sz w:val="18"/>
                <w:szCs w:val="18"/>
                <w:vertAlign w:val="baseline"/>
                <w:lang w:val="en-US" w:eastAsia="zh-CN"/>
              </w:rPr>
              <w:t>34</w:t>
            </w:r>
          </w:p>
        </w:tc>
        <w:tc>
          <w:tcPr>
            <w:tcW w:w="1491" w:type="dxa"/>
            <w:vAlign w:val="center"/>
          </w:tcPr>
          <w:p w14:paraId="56681A37">
            <w:pPr>
              <w:keepNext w:val="0"/>
              <w:keepLines w:val="0"/>
              <w:pageBreakBefore w:val="0"/>
              <w:widowControl w:val="0"/>
              <w:kinsoku/>
              <w:wordWrap/>
              <w:overflowPunct/>
              <w:topLinePunct w:val="0"/>
              <w:autoSpaceDE/>
              <w:autoSpaceDN/>
              <w:bidi w:val="0"/>
              <w:adjustRightInd w:val="0"/>
              <w:snapToGrid w:val="0"/>
              <w:spacing w:line="560" w:lineRule="exact"/>
              <w:ind w:firstLine="0" w:firstLineChars="0"/>
              <w:jc w:val="center"/>
              <w:textAlignment w:val="auto"/>
              <w:rPr>
                <w:rFonts w:hint="default" w:ascii="宋体" w:hAnsi="宋体" w:eastAsia="宋体" w:cs="宋体"/>
                <w:color w:val="auto"/>
                <w:sz w:val="18"/>
                <w:szCs w:val="18"/>
                <w:vertAlign w:val="baseline"/>
                <w:lang w:val="en-US" w:eastAsia="zh-CN"/>
              </w:rPr>
            </w:pPr>
            <w:r>
              <w:rPr>
                <w:rFonts w:hint="eastAsia" w:ascii="宋体" w:hAnsi="宋体" w:eastAsia="宋体" w:cs="宋体"/>
                <w:color w:val="auto"/>
                <w:sz w:val="18"/>
                <w:szCs w:val="18"/>
                <w:vertAlign w:val="baseline"/>
                <w:lang w:val="en-US" w:eastAsia="zh-CN"/>
              </w:rPr>
              <w:t>26</w:t>
            </w:r>
          </w:p>
        </w:tc>
        <w:tc>
          <w:tcPr>
            <w:tcW w:w="1491" w:type="dxa"/>
            <w:vAlign w:val="center"/>
          </w:tcPr>
          <w:p w14:paraId="26EB5898">
            <w:pPr>
              <w:keepNext w:val="0"/>
              <w:keepLines w:val="0"/>
              <w:pageBreakBefore w:val="0"/>
              <w:widowControl w:val="0"/>
              <w:kinsoku/>
              <w:wordWrap/>
              <w:overflowPunct/>
              <w:topLinePunct w:val="0"/>
              <w:autoSpaceDE/>
              <w:autoSpaceDN/>
              <w:bidi w:val="0"/>
              <w:adjustRightInd w:val="0"/>
              <w:snapToGrid w:val="0"/>
              <w:spacing w:line="560" w:lineRule="exact"/>
              <w:ind w:firstLine="0" w:firstLineChars="0"/>
              <w:jc w:val="center"/>
              <w:textAlignment w:val="auto"/>
              <w:rPr>
                <w:rFonts w:hint="default" w:ascii="宋体" w:hAnsi="宋体" w:eastAsia="宋体" w:cs="宋体"/>
                <w:color w:val="auto"/>
                <w:sz w:val="18"/>
                <w:szCs w:val="18"/>
                <w:vertAlign w:val="baseline"/>
                <w:lang w:val="en-US" w:eastAsia="zh-CN"/>
              </w:rPr>
            </w:pPr>
            <w:r>
              <w:rPr>
                <w:rFonts w:hint="eastAsia" w:ascii="宋体" w:hAnsi="宋体" w:eastAsia="宋体" w:cs="宋体"/>
                <w:color w:val="auto"/>
                <w:sz w:val="18"/>
                <w:szCs w:val="18"/>
                <w:vertAlign w:val="baseline"/>
                <w:lang w:val="en-US" w:eastAsia="zh-CN"/>
              </w:rPr>
              <w:t>25</w:t>
            </w:r>
          </w:p>
        </w:tc>
        <w:tc>
          <w:tcPr>
            <w:tcW w:w="1491" w:type="dxa"/>
            <w:vAlign w:val="center"/>
          </w:tcPr>
          <w:p w14:paraId="4139E586">
            <w:pPr>
              <w:keepNext w:val="0"/>
              <w:keepLines w:val="0"/>
              <w:pageBreakBefore w:val="0"/>
              <w:widowControl w:val="0"/>
              <w:kinsoku/>
              <w:wordWrap/>
              <w:overflowPunct/>
              <w:topLinePunct w:val="0"/>
              <w:autoSpaceDE/>
              <w:autoSpaceDN/>
              <w:bidi w:val="0"/>
              <w:adjustRightInd w:val="0"/>
              <w:snapToGrid w:val="0"/>
              <w:spacing w:line="560" w:lineRule="exact"/>
              <w:ind w:firstLine="0" w:firstLineChars="0"/>
              <w:jc w:val="center"/>
              <w:textAlignment w:val="auto"/>
              <w:rPr>
                <w:rFonts w:hint="default" w:ascii="宋体" w:hAnsi="宋体" w:eastAsia="宋体" w:cs="宋体"/>
                <w:color w:val="auto"/>
                <w:sz w:val="18"/>
                <w:szCs w:val="18"/>
                <w:vertAlign w:val="baseline"/>
                <w:lang w:val="en-US" w:eastAsia="zh-CN"/>
              </w:rPr>
            </w:pPr>
            <w:r>
              <w:rPr>
                <w:rFonts w:hint="eastAsia" w:ascii="宋体" w:hAnsi="宋体" w:eastAsia="宋体" w:cs="宋体"/>
                <w:color w:val="auto"/>
                <w:sz w:val="18"/>
                <w:szCs w:val="18"/>
                <w:vertAlign w:val="baseline"/>
                <w:lang w:val="en-US" w:eastAsia="zh-CN"/>
              </w:rPr>
              <w:t>85</w:t>
            </w:r>
          </w:p>
        </w:tc>
        <w:tc>
          <w:tcPr>
            <w:tcW w:w="1491" w:type="dxa"/>
            <w:vAlign w:val="center"/>
          </w:tcPr>
          <w:p w14:paraId="4251CB8F">
            <w:pPr>
              <w:keepNext w:val="0"/>
              <w:keepLines w:val="0"/>
              <w:pageBreakBefore w:val="0"/>
              <w:widowControl w:val="0"/>
              <w:kinsoku/>
              <w:wordWrap/>
              <w:overflowPunct/>
              <w:topLinePunct w:val="0"/>
              <w:autoSpaceDE/>
              <w:autoSpaceDN/>
              <w:bidi w:val="0"/>
              <w:adjustRightInd w:val="0"/>
              <w:snapToGrid w:val="0"/>
              <w:spacing w:line="560" w:lineRule="exact"/>
              <w:ind w:firstLine="0" w:firstLineChars="0"/>
              <w:jc w:val="center"/>
              <w:textAlignment w:val="auto"/>
              <w:rPr>
                <w:rFonts w:hint="eastAsia" w:ascii="宋体" w:hAnsi="宋体" w:eastAsia="宋体" w:cs="宋体"/>
                <w:color w:val="auto"/>
                <w:sz w:val="18"/>
                <w:szCs w:val="18"/>
                <w:vertAlign w:val="baseline"/>
                <w:lang w:val="en-US" w:eastAsia="zh-CN"/>
              </w:rPr>
            </w:pPr>
            <w:r>
              <w:rPr>
                <w:rFonts w:hint="eastAsia" w:ascii="宋体" w:hAnsi="宋体" w:eastAsia="宋体" w:cs="宋体"/>
                <w:color w:val="auto"/>
                <w:sz w:val="18"/>
                <w:szCs w:val="18"/>
                <w:vertAlign w:val="baseline"/>
                <w:lang w:val="en-US" w:eastAsia="zh-CN"/>
              </w:rPr>
              <w:t>良好</w:t>
            </w:r>
          </w:p>
        </w:tc>
      </w:tr>
      <w:tr w14:paraId="2CCE90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93" w:type="dxa"/>
            <w:vAlign w:val="center"/>
          </w:tcPr>
          <w:p w14:paraId="6443BDE7">
            <w:pPr>
              <w:keepNext w:val="0"/>
              <w:keepLines w:val="0"/>
              <w:pageBreakBefore w:val="0"/>
              <w:widowControl/>
              <w:suppressLineNumbers w:val="0"/>
              <w:kinsoku/>
              <w:wordWrap/>
              <w:overflowPunct/>
              <w:topLinePunct w:val="0"/>
              <w:autoSpaceDE/>
              <w:autoSpaceDN/>
              <w:bidi w:val="0"/>
              <w:adjustRightInd/>
              <w:snapToGrid w:val="0"/>
              <w:spacing w:line="240" w:lineRule="exact"/>
              <w:ind w:left="0" w:leftChars="0" w:firstLine="0" w:firstLineChars="0"/>
              <w:jc w:val="center"/>
              <w:textAlignment w:val="center"/>
              <w:rPr>
                <w:rFonts w:hint="eastAsia" w:ascii="宋体" w:hAnsi="宋体" w:eastAsia="宋体" w:cs="宋体"/>
                <w:color w:val="auto"/>
                <w:sz w:val="18"/>
                <w:szCs w:val="18"/>
                <w:vertAlign w:val="baseline"/>
              </w:rPr>
            </w:pPr>
            <w:r>
              <w:rPr>
                <w:rFonts w:hint="eastAsia" w:ascii="仿宋" w:hAnsi="仿宋" w:eastAsia="仿宋" w:cs="仿宋"/>
                <w:i w:val="0"/>
                <w:iCs w:val="0"/>
                <w:color w:val="000000"/>
                <w:kern w:val="0"/>
                <w:sz w:val="21"/>
                <w:szCs w:val="21"/>
                <w:u w:val="none"/>
                <w:lang w:val="en-US" w:eastAsia="zh-CN" w:bidi="ar"/>
              </w:rPr>
              <w:t>农事体验-与美好相“玉”</w:t>
            </w:r>
          </w:p>
        </w:tc>
        <w:tc>
          <w:tcPr>
            <w:tcW w:w="1491" w:type="dxa"/>
            <w:vAlign w:val="center"/>
          </w:tcPr>
          <w:p w14:paraId="7E5118D6">
            <w:pPr>
              <w:keepNext w:val="0"/>
              <w:keepLines w:val="0"/>
              <w:pageBreakBefore w:val="0"/>
              <w:widowControl w:val="0"/>
              <w:kinsoku/>
              <w:wordWrap/>
              <w:overflowPunct/>
              <w:topLinePunct w:val="0"/>
              <w:autoSpaceDE/>
              <w:autoSpaceDN/>
              <w:bidi w:val="0"/>
              <w:adjustRightInd w:val="0"/>
              <w:snapToGrid w:val="0"/>
              <w:spacing w:line="560" w:lineRule="exact"/>
              <w:ind w:firstLine="0" w:firstLineChars="0"/>
              <w:jc w:val="center"/>
              <w:textAlignment w:val="auto"/>
              <w:rPr>
                <w:rFonts w:hint="default" w:ascii="宋体" w:hAnsi="宋体" w:eastAsia="宋体" w:cs="宋体"/>
                <w:color w:val="auto"/>
                <w:sz w:val="18"/>
                <w:szCs w:val="18"/>
                <w:vertAlign w:val="baseline"/>
                <w:lang w:val="en-US" w:eastAsia="zh-CN"/>
              </w:rPr>
            </w:pPr>
            <w:r>
              <w:rPr>
                <w:rFonts w:hint="eastAsia" w:ascii="宋体" w:hAnsi="宋体" w:eastAsia="宋体" w:cs="宋体"/>
                <w:color w:val="auto"/>
                <w:sz w:val="18"/>
                <w:szCs w:val="18"/>
                <w:vertAlign w:val="baseline"/>
                <w:lang w:val="en-US" w:eastAsia="zh-CN"/>
              </w:rPr>
              <w:t>30</w:t>
            </w:r>
          </w:p>
        </w:tc>
        <w:tc>
          <w:tcPr>
            <w:tcW w:w="1491" w:type="dxa"/>
            <w:vAlign w:val="center"/>
          </w:tcPr>
          <w:p w14:paraId="55C71D25">
            <w:pPr>
              <w:keepNext w:val="0"/>
              <w:keepLines w:val="0"/>
              <w:pageBreakBefore w:val="0"/>
              <w:widowControl w:val="0"/>
              <w:kinsoku/>
              <w:wordWrap/>
              <w:overflowPunct/>
              <w:topLinePunct w:val="0"/>
              <w:autoSpaceDE/>
              <w:autoSpaceDN/>
              <w:bidi w:val="0"/>
              <w:adjustRightInd w:val="0"/>
              <w:snapToGrid w:val="0"/>
              <w:spacing w:line="560" w:lineRule="exact"/>
              <w:ind w:firstLine="0" w:firstLineChars="0"/>
              <w:jc w:val="center"/>
              <w:textAlignment w:val="auto"/>
              <w:rPr>
                <w:rFonts w:hint="default" w:ascii="宋体" w:hAnsi="宋体" w:eastAsia="宋体" w:cs="宋体"/>
                <w:color w:val="auto"/>
                <w:sz w:val="18"/>
                <w:szCs w:val="18"/>
                <w:vertAlign w:val="baseline"/>
                <w:lang w:val="en-US" w:eastAsia="zh-CN"/>
              </w:rPr>
            </w:pPr>
            <w:r>
              <w:rPr>
                <w:rFonts w:hint="eastAsia" w:ascii="宋体" w:hAnsi="宋体" w:eastAsia="宋体" w:cs="宋体"/>
                <w:color w:val="auto"/>
                <w:sz w:val="18"/>
                <w:szCs w:val="18"/>
                <w:vertAlign w:val="baseline"/>
                <w:lang w:val="en-US" w:eastAsia="zh-CN"/>
              </w:rPr>
              <w:t>25</w:t>
            </w:r>
          </w:p>
        </w:tc>
        <w:tc>
          <w:tcPr>
            <w:tcW w:w="1491" w:type="dxa"/>
            <w:vAlign w:val="center"/>
          </w:tcPr>
          <w:p w14:paraId="3D19D2AF">
            <w:pPr>
              <w:keepNext w:val="0"/>
              <w:keepLines w:val="0"/>
              <w:pageBreakBefore w:val="0"/>
              <w:widowControl w:val="0"/>
              <w:kinsoku/>
              <w:wordWrap/>
              <w:overflowPunct/>
              <w:topLinePunct w:val="0"/>
              <w:autoSpaceDE/>
              <w:autoSpaceDN/>
              <w:bidi w:val="0"/>
              <w:adjustRightInd w:val="0"/>
              <w:snapToGrid w:val="0"/>
              <w:spacing w:line="560" w:lineRule="exact"/>
              <w:ind w:firstLine="0" w:firstLineChars="0"/>
              <w:jc w:val="center"/>
              <w:textAlignment w:val="auto"/>
              <w:rPr>
                <w:rFonts w:hint="default" w:ascii="宋体" w:hAnsi="宋体" w:eastAsia="宋体" w:cs="宋体"/>
                <w:color w:val="auto"/>
                <w:sz w:val="18"/>
                <w:szCs w:val="18"/>
                <w:vertAlign w:val="baseline"/>
                <w:lang w:val="en-US" w:eastAsia="zh-CN"/>
              </w:rPr>
            </w:pPr>
            <w:r>
              <w:rPr>
                <w:rFonts w:hint="eastAsia" w:ascii="宋体" w:hAnsi="宋体" w:eastAsia="宋体" w:cs="宋体"/>
                <w:color w:val="auto"/>
                <w:sz w:val="18"/>
                <w:szCs w:val="18"/>
                <w:vertAlign w:val="baseline"/>
                <w:lang w:val="en-US" w:eastAsia="zh-CN"/>
              </w:rPr>
              <w:t>27</w:t>
            </w:r>
          </w:p>
        </w:tc>
        <w:tc>
          <w:tcPr>
            <w:tcW w:w="1491" w:type="dxa"/>
            <w:vAlign w:val="center"/>
          </w:tcPr>
          <w:p w14:paraId="7AABF881">
            <w:pPr>
              <w:keepNext w:val="0"/>
              <w:keepLines w:val="0"/>
              <w:pageBreakBefore w:val="0"/>
              <w:widowControl w:val="0"/>
              <w:kinsoku/>
              <w:wordWrap/>
              <w:overflowPunct/>
              <w:topLinePunct w:val="0"/>
              <w:autoSpaceDE/>
              <w:autoSpaceDN/>
              <w:bidi w:val="0"/>
              <w:adjustRightInd w:val="0"/>
              <w:snapToGrid w:val="0"/>
              <w:spacing w:line="560" w:lineRule="exact"/>
              <w:ind w:firstLine="0" w:firstLineChars="0"/>
              <w:jc w:val="center"/>
              <w:textAlignment w:val="auto"/>
              <w:rPr>
                <w:rFonts w:hint="default" w:ascii="宋体" w:hAnsi="宋体" w:eastAsia="宋体" w:cs="宋体"/>
                <w:color w:val="auto"/>
                <w:sz w:val="18"/>
                <w:szCs w:val="18"/>
                <w:vertAlign w:val="baseline"/>
                <w:lang w:val="en-US" w:eastAsia="zh-CN"/>
              </w:rPr>
            </w:pPr>
            <w:r>
              <w:rPr>
                <w:rFonts w:hint="eastAsia" w:ascii="宋体" w:hAnsi="宋体" w:eastAsia="宋体" w:cs="宋体"/>
                <w:color w:val="auto"/>
                <w:sz w:val="18"/>
                <w:szCs w:val="18"/>
                <w:vertAlign w:val="baseline"/>
                <w:lang w:val="en-US" w:eastAsia="zh-CN"/>
              </w:rPr>
              <w:t>82</w:t>
            </w:r>
          </w:p>
        </w:tc>
        <w:tc>
          <w:tcPr>
            <w:tcW w:w="1491" w:type="dxa"/>
            <w:vAlign w:val="center"/>
          </w:tcPr>
          <w:p w14:paraId="7AC45D26">
            <w:pPr>
              <w:keepNext w:val="0"/>
              <w:keepLines w:val="0"/>
              <w:pageBreakBefore w:val="0"/>
              <w:widowControl w:val="0"/>
              <w:kinsoku/>
              <w:wordWrap/>
              <w:overflowPunct/>
              <w:topLinePunct w:val="0"/>
              <w:autoSpaceDE/>
              <w:autoSpaceDN/>
              <w:bidi w:val="0"/>
              <w:adjustRightInd w:val="0"/>
              <w:snapToGrid w:val="0"/>
              <w:spacing w:line="560" w:lineRule="exact"/>
              <w:ind w:firstLine="0" w:firstLineChars="0"/>
              <w:jc w:val="center"/>
              <w:textAlignment w:val="auto"/>
              <w:rPr>
                <w:rFonts w:hint="eastAsia" w:ascii="宋体" w:hAnsi="宋体" w:eastAsia="宋体" w:cs="宋体"/>
                <w:color w:val="auto"/>
                <w:sz w:val="18"/>
                <w:szCs w:val="18"/>
                <w:vertAlign w:val="baseline"/>
                <w:lang w:val="en-US" w:eastAsia="zh-CN"/>
              </w:rPr>
            </w:pPr>
            <w:r>
              <w:rPr>
                <w:rFonts w:hint="eastAsia" w:ascii="宋体" w:hAnsi="宋体" w:eastAsia="宋体" w:cs="宋体"/>
                <w:color w:val="auto"/>
                <w:sz w:val="18"/>
                <w:szCs w:val="18"/>
                <w:vertAlign w:val="baseline"/>
                <w:lang w:val="en-US" w:eastAsia="zh-CN"/>
              </w:rPr>
              <w:t>良好</w:t>
            </w:r>
          </w:p>
        </w:tc>
      </w:tr>
      <w:tr w14:paraId="6F7FC7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93" w:type="dxa"/>
            <w:vAlign w:val="center"/>
          </w:tcPr>
          <w:p w14:paraId="171BD4C0">
            <w:pPr>
              <w:keepNext w:val="0"/>
              <w:keepLines w:val="0"/>
              <w:pageBreakBefore w:val="0"/>
              <w:widowControl/>
              <w:suppressLineNumbers w:val="0"/>
              <w:kinsoku/>
              <w:wordWrap/>
              <w:overflowPunct/>
              <w:topLinePunct w:val="0"/>
              <w:autoSpaceDE/>
              <w:autoSpaceDN/>
              <w:bidi w:val="0"/>
              <w:adjustRightInd/>
              <w:snapToGrid w:val="0"/>
              <w:spacing w:line="240" w:lineRule="exact"/>
              <w:ind w:left="0" w:leftChars="0" w:firstLine="0" w:firstLineChars="0"/>
              <w:jc w:val="center"/>
              <w:textAlignment w:val="center"/>
              <w:rPr>
                <w:rFonts w:hint="eastAsia" w:ascii="宋体" w:hAnsi="宋体" w:eastAsia="宋体" w:cs="宋体"/>
                <w:color w:val="auto"/>
                <w:sz w:val="18"/>
                <w:szCs w:val="18"/>
                <w:vertAlign w:val="baseline"/>
              </w:rPr>
            </w:pPr>
            <w:r>
              <w:rPr>
                <w:rFonts w:hint="eastAsia" w:ascii="仿宋" w:hAnsi="仿宋" w:eastAsia="仿宋" w:cs="仿宋"/>
                <w:i w:val="0"/>
                <w:iCs w:val="0"/>
                <w:color w:val="000000"/>
                <w:kern w:val="0"/>
                <w:sz w:val="21"/>
                <w:szCs w:val="21"/>
                <w:u w:val="none"/>
                <w:lang w:val="en-US" w:eastAsia="zh-CN" w:bidi="ar"/>
              </w:rPr>
              <w:t>小小茶农体验日</w:t>
            </w:r>
          </w:p>
        </w:tc>
        <w:tc>
          <w:tcPr>
            <w:tcW w:w="1491" w:type="dxa"/>
            <w:vAlign w:val="center"/>
          </w:tcPr>
          <w:p w14:paraId="7F21934D">
            <w:pPr>
              <w:keepNext w:val="0"/>
              <w:keepLines w:val="0"/>
              <w:pageBreakBefore w:val="0"/>
              <w:widowControl w:val="0"/>
              <w:kinsoku/>
              <w:wordWrap/>
              <w:overflowPunct/>
              <w:topLinePunct w:val="0"/>
              <w:autoSpaceDE/>
              <w:autoSpaceDN/>
              <w:bidi w:val="0"/>
              <w:adjustRightInd w:val="0"/>
              <w:snapToGrid w:val="0"/>
              <w:spacing w:line="560" w:lineRule="exact"/>
              <w:ind w:firstLine="0" w:firstLineChars="0"/>
              <w:jc w:val="center"/>
              <w:textAlignment w:val="auto"/>
              <w:rPr>
                <w:rFonts w:hint="default" w:ascii="宋体" w:hAnsi="宋体" w:eastAsia="宋体" w:cs="宋体"/>
                <w:color w:val="auto"/>
                <w:sz w:val="18"/>
                <w:szCs w:val="18"/>
                <w:vertAlign w:val="baseline"/>
                <w:lang w:val="en-US" w:eastAsia="zh-CN"/>
              </w:rPr>
            </w:pPr>
            <w:r>
              <w:rPr>
                <w:rFonts w:hint="eastAsia" w:ascii="宋体" w:hAnsi="宋体" w:eastAsia="宋体" w:cs="宋体"/>
                <w:color w:val="auto"/>
                <w:sz w:val="18"/>
                <w:szCs w:val="18"/>
                <w:vertAlign w:val="baseline"/>
                <w:lang w:val="en-US" w:eastAsia="zh-CN"/>
              </w:rPr>
              <w:t>32</w:t>
            </w:r>
          </w:p>
        </w:tc>
        <w:tc>
          <w:tcPr>
            <w:tcW w:w="1491" w:type="dxa"/>
            <w:vAlign w:val="center"/>
          </w:tcPr>
          <w:p w14:paraId="5991FC3C">
            <w:pPr>
              <w:keepNext w:val="0"/>
              <w:keepLines w:val="0"/>
              <w:pageBreakBefore w:val="0"/>
              <w:widowControl w:val="0"/>
              <w:kinsoku/>
              <w:wordWrap/>
              <w:overflowPunct/>
              <w:topLinePunct w:val="0"/>
              <w:autoSpaceDE/>
              <w:autoSpaceDN/>
              <w:bidi w:val="0"/>
              <w:adjustRightInd w:val="0"/>
              <w:snapToGrid w:val="0"/>
              <w:spacing w:line="560" w:lineRule="exact"/>
              <w:ind w:firstLine="0" w:firstLineChars="0"/>
              <w:jc w:val="center"/>
              <w:textAlignment w:val="auto"/>
              <w:rPr>
                <w:rFonts w:hint="default" w:ascii="宋体" w:hAnsi="宋体" w:eastAsia="宋体" w:cs="宋体"/>
                <w:color w:val="auto"/>
                <w:sz w:val="18"/>
                <w:szCs w:val="18"/>
                <w:vertAlign w:val="baseline"/>
                <w:lang w:val="en-US" w:eastAsia="zh-CN"/>
              </w:rPr>
            </w:pPr>
            <w:r>
              <w:rPr>
                <w:rFonts w:hint="eastAsia" w:ascii="宋体" w:hAnsi="宋体" w:eastAsia="宋体" w:cs="宋体"/>
                <w:color w:val="auto"/>
                <w:sz w:val="18"/>
                <w:szCs w:val="18"/>
                <w:vertAlign w:val="baseline"/>
                <w:lang w:val="en-US" w:eastAsia="zh-CN"/>
              </w:rPr>
              <w:t>28</w:t>
            </w:r>
          </w:p>
        </w:tc>
        <w:tc>
          <w:tcPr>
            <w:tcW w:w="1491" w:type="dxa"/>
            <w:vAlign w:val="center"/>
          </w:tcPr>
          <w:p w14:paraId="514ED4D4">
            <w:pPr>
              <w:keepNext w:val="0"/>
              <w:keepLines w:val="0"/>
              <w:pageBreakBefore w:val="0"/>
              <w:widowControl w:val="0"/>
              <w:kinsoku/>
              <w:wordWrap/>
              <w:overflowPunct/>
              <w:topLinePunct w:val="0"/>
              <w:autoSpaceDE/>
              <w:autoSpaceDN/>
              <w:bidi w:val="0"/>
              <w:adjustRightInd w:val="0"/>
              <w:snapToGrid w:val="0"/>
              <w:spacing w:line="560" w:lineRule="exact"/>
              <w:ind w:firstLine="0" w:firstLineChars="0"/>
              <w:jc w:val="center"/>
              <w:textAlignment w:val="auto"/>
              <w:rPr>
                <w:rFonts w:hint="default" w:ascii="宋体" w:hAnsi="宋体" w:eastAsia="宋体" w:cs="宋体"/>
                <w:color w:val="auto"/>
                <w:sz w:val="18"/>
                <w:szCs w:val="18"/>
                <w:vertAlign w:val="baseline"/>
                <w:lang w:val="en-US" w:eastAsia="zh-CN"/>
              </w:rPr>
            </w:pPr>
            <w:r>
              <w:rPr>
                <w:rFonts w:hint="eastAsia" w:ascii="宋体" w:hAnsi="宋体" w:eastAsia="宋体" w:cs="宋体"/>
                <w:color w:val="auto"/>
                <w:sz w:val="18"/>
                <w:szCs w:val="18"/>
                <w:vertAlign w:val="baseline"/>
                <w:lang w:val="en-US" w:eastAsia="zh-CN"/>
              </w:rPr>
              <w:t>27</w:t>
            </w:r>
          </w:p>
        </w:tc>
        <w:tc>
          <w:tcPr>
            <w:tcW w:w="1491" w:type="dxa"/>
            <w:vAlign w:val="center"/>
          </w:tcPr>
          <w:p w14:paraId="27452477">
            <w:pPr>
              <w:keepNext w:val="0"/>
              <w:keepLines w:val="0"/>
              <w:pageBreakBefore w:val="0"/>
              <w:widowControl w:val="0"/>
              <w:kinsoku/>
              <w:wordWrap/>
              <w:overflowPunct/>
              <w:topLinePunct w:val="0"/>
              <w:autoSpaceDE/>
              <w:autoSpaceDN/>
              <w:bidi w:val="0"/>
              <w:adjustRightInd w:val="0"/>
              <w:snapToGrid w:val="0"/>
              <w:spacing w:line="560" w:lineRule="exact"/>
              <w:ind w:firstLine="0" w:firstLineChars="0"/>
              <w:jc w:val="center"/>
              <w:textAlignment w:val="auto"/>
              <w:rPr>
                <w:rFonts w:hint="default" w:ascii="宋体" w:hAnsi="宋体" w:eastAsia="宋体" w:cs="宋体"/>
                <w:color w:val="auto"/>
                <w:sz w:val="18"/>
                <w:szCs w:val="18"/>
                <w:vertAlign w:val="baseline"/>
                <w:lang w:val="en-US" w:eastAsia="zh-CN"/>
              </w:rPr>
            </w:pPr>
            <w:r>
              <w:rPr>
                <w:rFonts w:hint="eastAsia" w:ascii="宋体" w:hAnsi="宋体" w:eastAsia="宋体" w:cs="宋体"/>
                <w:color w:val="auto"/>
                <w:sz w:val="18"/>
                <w:szCs w:val="18"/>
                <w:vertAlign w:val="baseline"/>
                <w:lang w:val="en-US" w:eastAsia="zh-CN"/>
              </w:rPr>
              <w:t>87</w:t>
            </w:r>
          </w:p>
        </w:tc>
        <w:tc>
          <w:tcPr>
            <w:tcW w:w="1491" w:type="dxa"/>
            <w:vAlign w:val="center"/>
          </w:tcPr>
          <w:p w14:paraId="0773656B">
            <w:pPr>
              <w:keepNext w:val="0"/>
              <w:keepLines w:val="0"/>
              <w:pageBreakBefore w:val="0"/>
              <w:widowControl w:val="0"/>
              <w:kinsoku/>
              <w:wordWrap/>
              <w:overflowPunct/>
              <w:topLinePunct w:val="0"/>
              <w:autoSpaceDE/>
              <w:autoSpaceDN/>
              <w:bidi w:val="0"/>
              <w:adjustRightInd w:val="0"/>
              <w:snapToGrid w:val="0"/>
              <w:spacing w:line="560" w:lineRule="exact"/>
              <w:ind w:firstLine="0" w:firstLineChars="0"/>
              <w:jc w:val="center"/>
              <w:textAlignment w:val="auto"/>
              <w:rPr>
                <w:rFonts w:hint="eastAsia" w:ascii="宋体" w:hAnsi="宋体" w:eastAsia="宋体" w:cs="宋体"/>
                <w:color w:val="auto"/>
                <w:sz w:val="18"/>
                <w:szCs w:val="18"/>
                <w:vertAlign w:val="baseline"/>
                <w:lang w:val="en-US" w:eastAsia="zh-CN"/>
              </w:rPr>
            </w:pPr>
            <w:r>
              <w:rPr>
                <w:rFonts w:hint="eastAsia" w:ascii="宋体" w:hAnsi="宋体" w:eastAsia="宋体" w:cs="宋体"/>
                <w:color w:val="auto"/>
                <w:sz w:val="18"/>
                <w:szCs w:val="18"/>
                <w:vertAlign w:val="baseline"/>
                <w:lang w:val="en-US" w:eastAsia="zh-CN"/>
              </w:rPr>
              <w:t>良好</w:t>
            </w:r>
          </w:p>
        </w:tc>
      </w:tr>
    </w:tbl>
    <w:p w14:paraId="2A47F0CA">
      <w:pPr>
        <w:pStyle w:val="15"/>
        <w:ind w:firstLine="0" w:firstLineChars="0"/>
        <w:jc w:val="center"/>
        <w:rPr>
          <w:rFonts w:hint="default" w:ascii="仿宋_GB2312" w:hAnsi="仿宋_GB2312" w:eastAsia="仿宋_GB2312" w:cs="仿宋_GB2312"/>
          <w:sz w:val="28"/>
          <w:szCs w:val="36"/>
          <w:lang w:val="en-US" w:eastAsia="zh-CN"/>
        </w:rPr>
      </w:pPr>
      <w:r>
        <w:drawing>
          <wp:inline distT="0" distB="0" distL="114300" distR="114300">
            <wp:extent cx="5267325" cy="3319780"/>
            <wp:effectExtent l="0" t="0" r="0" b="4445"/>
            <wp:docPr id="1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6"/>
                    <pic:cNvPicPr>
                      <a:picLocks noChangeAspect="1"/>
                    </pic:cNvPicPr>
                  </pic:nvPicPr>
                  <pic:blipFill>
                    <a:blip r:embed="rId12"/>
                    <a:stretch>
                      <a:fillRect/>
                    </a:stretch>
                  </pic:blipFill>
                  <pic:spPr>
                    <a:xfrm>
                      <a:off x="0" y="0"/>
                      <a:ext cx="5267325" cy="3319780"/>
                    </a:xfrm>
                    <a:prstGeom prst="rect">
                      <a:avLst/>
                    </a:prstGeom>
                    <a:noFill/>
                    <a:ln>
                      <a:noFill/>
                    </a:ln>
                  </pic:spPr>
                </pic:pic>
              </a:graphicData>
            </a:graphic>
          </wp:inline>
        </w:drawing>
      </w:r>
    </w:p>
    <w:p w14:paraId="617CF487">
      <w:pPr>
        <w:pStyle w:val="2"/>
        <w:ind w:firstLine="0" w:firstLineChars="0"/>
        <w:jc w:val="center"/>
        <w:rPr>
          <w:rFonts w:hint="eastAsia" w:ascii="仿宋_GB2312" w:hAnsi="仿宋_GB2312" w:eastAsia="黑体" w:cs="仿宋_GB2312"/>
          <w:sz w:val="28"/>
          <w:szCs w:val="36"/>
          <w:lang w:val="en-US" w:eastAsia="zh-CN"/>
        </w:rPr>
      </w:pPr>
      <w:r>
        <w:t xml:space="preserve">图 </w:t>
      </w:r>
      <w:r>
        <w:fldChar w:fldCharType="begin"/>
      </w:r>
      <w:r>
        <w:instrText xml:space="preserve"> SEQ 图 \* ARABIC </w:instrText>
      </w:r>
      <w:r>
        <w:fldChar w:fldCharType="separate"/>
      </w:r>
      <w:r>
        <w:t>4</w:t>
      </w:r>
      <w:r>
        <w:fldChar w:fldCharType="end"/>
      </w:r>
      <w:r>
        <w:rPr>
          <w:rFonts w:hint="eastAsia"/>
          <w:lang w:val="en-US" w:eastAsia="zh-CN"/>
        </w:rPr>
        <w:t xml:space="preserve">  在广西热作所开展的研学活动</w:t>
      </w:r>
    </w:p>
    <w:p w14:paraId="2EC16248">
      <w:pPr>
        <w:ind w:left="0" w:leftChars="0" w:firstLine="0" w:firstLineChars="0"/>
        <w:jc w:val="center"/>
      </w:pPr>
      <w:r>
        <w:drawing>
          <wp:inline distT="0" distB="0" distL="114300" distR="114300">
            <wp:extent cx="5478145" cy="3652520"/>
            <wp:effectExtent l="0" t="0" r="8255" b="5080"/>
            <wp:docPr id="1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5"/>
                    <pic:cNvPicPr>
                      <a:picLocks noChangeAspect="1"/>
                    </pic:cNvPicPr>
                  </pic:nvPicPr>
                  <pic:blipFill>
                    <a:blip r:embed="rId13"/>
                    <a:stretch>
                      <a:fillRect/>
                    </a:stretch>
                  </pic:blipFill>
                  <pic:spPr>
                    <a:xfrm>
                      <a:off x="0" y="0"/>
                      <a:ext cx="5478145" cy="3652520"/>
                    </a:xfrm>
                    <a:prstGeom prst="rect">
                      <a:avLst/>
                    </a:prstGeom>
                    <a:noFill/>
                    <a:ln>
                      <a:noFill/>
                    </a:ln>
                  </pic:spPr>
                </pic:pic>
              </a:graphicData>
            </a:graphic>
          </wp:inline>
        </w:drawing>
      </w:r>
    </w:p>
    <w:p w14:paraId="427C5A47">
      <w:pPr>
        <w:pStyle w:val="2"/>
        <w:ind w:left="0" w:leftChars="0" w:firstLine="0" w:firstLineChars="0"/>
        <w:jc w:val="center"/>
        <w:rPr>
          <w:rFonts w:hint="eastAsia" w:eastAsia="黑体"/>
          <w:lang w:val="en-US" w:eastAsia="zh-CN"/>
        </w:rPr>
      </w:pPr>
      <w:r>
        <w:t xml:space="preserve">图 </w:t>
      </w:r>
      <w:r>
        <w:fldChar w:fldCharType="begin"/>
      </w:r>
      <w:r>
        <w:instrText xml:space="preserve"> SEQ 图 \* ARABIC </w:instrText>
      </w:r>
      <w:r>
        <w:fldChar w:fldCharType="separate"/>
      </w:r>
      <w:r>
        <w:t>5</w:t>
      </w:r>
      <w:r>
        <w:fldChar w:fldCharType="end"/>
      </w:r>
      <w:r>
        <w:rPr>
          <w:rFonts w:hint="eastAsia"/>
          <w:lang w:val="en-US" w:eastAsia="zh-CN"/>
        </w:rPr>
        <w:t xml:space="preserve">  广西热作所组织开展的研学课程评价活动</w:t>
      </w:r>
    </w:p>
    <w:p w14:paraId="5BB0299F">
      <w:pPr>
        <w:ind w:firstLine="0" w:firstLineChars="0"/>
        <w:jc w:val="center"/>
      </w:pPr>
      <w:r>
        <w:drawing>
          <wp:inline distT="0" distB="0" distL="114300" distR="114300">
            <wp:extent cx="5375910" cy="4030980"/>
            <wp:effectExtent l="0" t="0" r="5715" b="7620"/>
            <wp:docPr id="1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7"/>
                    <pic:cNvPicPr>
                      <a:picLocks noChangeAspect="1"/>
                    </pic:cNvPicPr>
                  </pic:nvPicPr>
                  <pic:blipFill>
                    <a:blip r:embed="rId14"/>
                    <a:stretch>
                      <a:fillRect/>
                    </a:stretch>
                  </pic:blipFill>
                  <pic:spPr>
                    <a:xfrm>
                      <a:off x="0" y="0"/>
                      <a:ext cx="5375910" cy="4030980"/>
                    </a:xfrm>
                    <a:prstGeom prst="rect">
                      <a:avLst/>
                    </a:prstGeom>
                    <a:noFill/>
                    <a:ln>
                      <a:noFill/>
                    </a:ln>
                  </pic:spPr>
                </pic:pic>
              </a:graphicData>
            </a:graphic>
          </wp:inline>
        </w:drawing>
      </w:r>
    </w:p>
    <w:p w14:paraId="5EA268E5">
      <w:pPr>
        <w:pStyle w:val="2"/>
        <w:ind w:firstLine="0" w:firstLineChars="0"/>
        <w:jc w:val="center"/>
        <w:rPr>
          <w:rFonts w:hint="eastAsia"/>
        </w:rPr>
      </w:pPr>
      <w:r>
        <w:t xml:space="preserve">图 </w:t>
      </w:r>
      <w:r>
        <w:fldChar w:fldCharType="begin"/>
      </w:r>
      <w:r>
        <w:instrText xml:space="preserve"> SEQ 图 \* ARABIC </w:instrText>
      </w:r>
      <w:r>
        <w:fldChar w:fldCharType="separate"/>
      </w:r>
      <w:r>
        <w:t>6</w:t>
      </w:r>
      <w:r>
        <w:fldChar w:fldCharType="end"/>
      </w:r>
      <w:r>
        <w:rPr>
          <w:rFonts w:hint="eastAsia"/>
          <w:lang w:val="en-US" w:eastAsia="zh-CN"/>
        </w:rPr>
        <w:t xml:space="preserve"> </w:t>
      </w:r>
      <w:r>
        <w:rPr>
          <w:rFonts w:hint="eastAsia"/>
        </w:rPr>
        <w:t>研学课程</w:t>
      </w:r>
      <w:r>
        <w:rPr>
          <w:rFonts w:hint="eastAsia"/>
          <w:lang w:val="en-US" w:eastAsia="zh-CN"/>
        </w:rPr>
        <w:t>设计</w:t>
      </w:r>
      <w:r>
        <w:rPr>
          <w:rFonts w:hint="eastAsia"/>
        </w:rPr>
        <w:t>评价</w:t>
      </w:r>
      <w:r>
        <w:rPr>
          <w:rFonts w:hint="eastAsia"/>
          <w:lang w:val="en-US" w:eastAsia="zh-CN"/>
        </w:rPr>
        <w:t>指标评分</w:t>
      </w:r>
      <w:r>
        <w:rPr>
          <w:rFonts w:hint="eastAsia"/>
        </w:rPr>
        <w:t>表</w:t>
      </w:r>
    </w:p>
    <w:p w14:paraId="2FFEEDBA">
      <w:pPr>
        <w:ind w:left="0" w:leftChars="0" w:firstLine="0" w:firstLineChars="0"/>
        <w:jc w:val="center"/>
      </w:pPr>
      <w:r>
        <w:drawing>
          <wp:inline distT="0" distB="0" distL="114300" distR="114300">
            <wp:extent cx="3982085" cy="5311140"/>
            <wp:effectExtent l="0" t="0" r="3810" b="8890"/>
            <wp:docPr id="1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4"/>
                    <pic:cNvPicPr>
                      <a:picLocks noChangeAspect="1"/>
                    </pic:cNvPicPr>
                  </pic:nvPicPr>
                  <pic:blipFill>
                    <a:blip r:embed="rId15"/>
                    <a:stretch>
                      <a:fillRect/>
                    </a:stretch>
                  </pic:blipFill>
                  <pic:spPr>
                    <a:xfrm rot="16200000">
                      <a:off x="0" y="0"/>
                      <a:ext cx="3982085" cy="5311140"/>
                    </a:xfrm>
                    <a:prstGeom prst="rect">
                      <a:avLst/>
                    </a:prstGeom>
                    <a:noFill/>
                    <a:ln>
                      <a:noFill/>
                    </a:ln>
                  </pic:spPr>
                </pic:pic>
              </a:graphicData>
            </a:graphic>
          </wp:inline>
        </w:drawing>
      </w:r>
    </w:p>
    <w:p w14:paraId="1D3E85F5">
      <w:pPr>
        <w:pStyle w:val="2"/>
        <w:ind w:left="0" w:leftChars="0" w:firstLine="0" w:firstLineChars="0"/>
        <w:jc w:val="center"/>
        <w:rPr>
          <w:rFonts w:hint="default" w:eastAsia="黑体"/>
          <w:lang w:val="en-US" w:eastAsia="zh-CN"/>
        </w:rPr>
      </w:pPr>
      <w:r>
        <w:t xml:space="preserve">图 </w:t>
      </w:r>
      <w:r>
        <w:fldChar w:fldCharType="begin"/>
      </w:r>
      <w:r>
        <w:instrText xml:space="preserve"> SEQ 图 \* ARABIC </w:instrText>
      </w:r>
      <w:r>
        <w:fldChar w:fldCharType="separate"/>
      </w:r>
      <w:r>
        <w:t>7</w:t>
      </w:r>
      <w:r>
        <w:fldChar w:fldCharType="end"/>
      </w:r>
      <w:r>
        <w:rPr>
          <w:rFonts w:hint="eastAsia"/>
          <w:lang w:val="en-US" w:eastAsia="zh-CN"/>
        </w:rPr>
        <w:t xml:space="preserve"> 满意度调查表</w:t>
      </w:r>
    </w:p>
    <w:p w14:paraId="2E41BEB2">
      <w:pPr>
        <w:widowControl/>
        <w:tabs>
          <w:tab w:val="center" w:pos="4201"/>
          <w:tab w:val="right" w:leader="dot" w:pos="9298"/>
        </w:tabs>
        <w:autoSpaceDE w:val="0"/>
        <w:autoSpaceDN w:val="0"/>
        <w:spacing w:line="560" w:lineRule="exact"/>
        <w:ind w:firstLine="643"/>
        <w:outlineLvl w:val="1"/>
        <w:rPr>
          <w:rFonts w:eastAsia="仿宋"/>
          <w:b/>
          <w:bCs/>
          <w:kern w:val="0"/>
          <w:szCs w:val="32"/>
        </w:rPr>
      </w:pPr>
      <w:r>
        <w:rPr>
          <w:rFonts w:eastAsia="仿宋"/>
          <w:b/>
          <w:bCs/>
          <w:kern w:val="0"/>
          <w:szCs w:val="32"/>
        </w:rPr>
        <w:t>（三）与现行法律、法规的关系，与有关国家标准、行业标准的协调情况</w:t>
      </w:r>
    </w:p>
    <w:p w14:paraId="2B3D914D">
      <w:pPr>
        <w:spacing w:line="560" w:lineRule="exact"/>
        <w:ind w:firstLine="640"/>
        <w:rPr>
          <w:rFonts w:hint="eastAsia" w:ascii="仿宋_GB2312" w:hAnsi="仿宋"/>
          <w:szCs w:val="28"/>
        </w:rPr>
      </w:pPr>
      <w:r>
        <w:rPr>
          <w:rFonts w:hint="eastAsia" w:ascii="仿宋_GB2312" w:hAnsi="宋体"/>
          <w:szCs w:val="28"/>
        </w:rPr>
        <w:t>本编制工作组承诺本标准内容与各项指标不违反相关法律法规要</w:t>
      </w:r>
      <w:r>
        <w:rPr>
          <w:rFonts w:hint="eastAsia" w:ascii="仿宋_GB2312" w:hAnsi="仿宋"/>
          <w:szCs w:val="28"/>
        </w:rPr>
        <w:t>求，且不低于国家强制性标准、推荐性国家标准和行业标准要求。</w:t>
      </w:r>
    </w:p>
    <w:p w14:paraId="73FBFA41">
      <w:pPr>
        <w:spacing w:line="560" w:lineRule="exact"/>
        <w:ind w:firstLine="640"/>
        <w:rPr>
          <w:rFonts w:hint="eastAsia" w:ascii="仿宋_GB2312" w:hAnsi="仿宋"/>
          <w:szCs w:val="28"/>
        </w:rPr>
      </w:pPr>
      <w:r>
        <w:rPr>
          <w:rFonts w:hint="eastAsia" w:ascii="仿宋_GB2312" w:hAnsi="仿宋"/>
          <w:szCs w:val="28"/>
        </w:rPr>
        <w:t>经查阅，</w:t>
      </w:r>
      <w:r>
        <w:rPr>
          <w:rFonts w:hint="eastAsia" w:ascii="仿宋_GB2312" w:hAnsi="仿宋"/>
          <w:szCs w:val="28"/>
          <w:lang w:val="en-US" w:eastAsia="zh-CN"/>
        </w:rPr>
        <w:t>与</w:t>
      </w:r>
      <w:r>
        <w:rPr>
          <w:rFonts w:hint="eastAsia"/>
          <w:szCs w:val="28"/>
        </w:rPr>
        <w:t>“研学课程评价”“教学质量评价”</w:t>
      </w:r>
      <w:r>
        <w:rPr>
          <w:szCs w:val="28"/>
        </w:rPr>
        <w:t>相关</w:t>
      </w:r>
      <w:r>
        <w:rPr>
          <w:rFonts w:hint="eastAsia"/>
          <w:szCs w:val="28"/>
          <w:lang w:val="en-US" w:eastAsia="zh-CN"/>
        </w:rPr>
        <w:t>的标准</w:t>
      </w:r>
      <w:r>
        <w:rPr>
          <w:szCs w:val="28"/>
        </w:rPr>
        <w:t>主要有</w:t>
      </w:r>
      <w:r>
        <w:rPr>
          <w:rFonts w:hint="eastAsia"/>
          <w:szCs w:val="28"/>
          <w:lang w:eastAsia="zh-CN"/>
        </w:rPr>
        <w:t>：</w:t>
      </w:r>
      <w:r>
        <w:rPr>
          <w:rFonts w:hint="eastAsia"/>
          <w:szCs w:val="28"/>
          <w:lang w:val="fr-FR" w:eastAsia="zh-CN"/>
        </w:rPr>
        <w:t>《</w:t>
      </w:r>
      <w:r>
        <w:rPr>
          <w:rFonts w:hint="eastAsia"/>
          <w:szCs w:val="28"/>
          <w:lang w:val="fr-FR"/>
        </w:rPr>
        <w:t>T/CSWA 001—2023  科普视频评价指标体系</w:t>
      </w:r>
      <w:r>
        <w:rPr>
          <w:rFonts w:hint="eastAsia"/>
          <w:szCs w:val="28"/>
          <w:lang w:val="fr-FR" w:eastAsia="zh-CN"/>
        </w:rPr>
        <w:t>》《</w:t>
      </w:r>
      <w:r>
        <w:rPr>
          <w:rFonts w:hint="eastAsia"/>
          <w:szCs w:val="28"/>
          <w:lang w:val="fr-FR"/>
        </w:rPr>
        <w:t>LB/T054—2025 研学旅游服务要求</w:t>
      </w:r>
      <w:r>
        <w:rPr>
          <w:rFonts w:hint="eastAsia"/>
          <w:szCs w:val="28"/>
          <w:lang w:val="fr-FR" w:eastAsia="zh-CN"/>
        </w:rPr>
        <w:t>》《</w:t>
      </w:r>
      <w:r>
        <w:rPr>
          <w:rFonts w:hint="eastAsia"/>
          <w:szCs w:val="28"/>
          <w:lang w:val="fr-FR"/>
        </w:rPr>
        <w:t>DB36/T 1413.4—2021 中小学研学旅行 第4部分：评价规范</w:t>
      </w:r>
      <w:r>
        <w:rPr>
          <w:rFonts w:hint="eastAsia"/>
          <w:szCs w:val="28"/>
          <w:lang w:val="fr-FR" w:eastAsia="zh-CN"/>
        </w:rPr>
        <w:t>》《</w:t>
      </w:r>
      <w:r>
        <w:rPr>
          <w:rFonts w:hint="eastAsia"/>
          <w:szCs w:val="28"/>
          <w:lang w:val="fr-FR"/>
        </w:rPr>
        <w:t>DB36/T 1413.2—2021 中小学研学旅行 第2部分：课程设置规范</w:t>
      </w:r>
      <w:r>
        <w:rPr>
          <w:rFonts w:hint="eastAsia"/>
          <w:szCs w:val="28"/>
          <w:lang w:val="fr-FR" w:eastAsia="zh-CN"/>
        </w:rPr>
        <w:t>》《</w:t>
      </w:r>
      <w:r>
        <w:rPr>
          <w:rFonts w:hint="eastAsia"/>
          <w:szCs w:val="28"/>
          <w:lang w:val="fr-FR"/>
        </w:rPr>
        <w:t>DB3715/T 30—2023 研学旅行服务规范</w:t>
      </w:r>
      <w:r>
        <w:rPr>
          <w:rFonts w:hint="eastAsia"/>
          <w:szCs w:val="28"/>
          <w:lang w:val="fr-FR" w:eastAsia="zh-CN"/>
        </w:rPr>
        <w:t>》《</w:t>
      </w:r>
      <w:r>
        <w:rPr>
          <w:rFonts w:hint="eastAsia"/>
          <w:szCs w:val="28"/>
          <w:lang w:val="fr-FR"/>
        </w:rPr>
        <w:t>DB4105/T 240—2024 研学旅行综合评价指南</w:t>
      </w:r>
      <w:r>
        <w:rPr>
          <w:rFonts w:hint="eastAsia"/>
          <w:szCs w:val="28"/>
          <w:lang w:val="fr-FR" w:eastAsia="zh-CN"/>
        </w:rPr>
        <w:t>》《</w:t>
      </w:r>
      <w:r>
        <w:rPr>
          <w:rFonts w:hint="eastAsia"/>
          <w:szCs w:val="28"/>
          <w:lang w:val="fr-FR"/>
        </w:rPr>
        <w:t>DB 64/T 2150—2025 科普研学实施规范</w:t>
      </w:r>
      <w:r>
        <w:rPr>
          <w:rFonts w:hint="eastAsia"/>
          <w:szCs w:val="28"/>
          <w:lang w:val="fr-FR" w:eastAsia="zh-CN"/>
        </w:rPr>
        <w:t>》《</w:t>
      </w:r>
      <w:r>
        <w:rPr>
          <w:rFonts w:hint="eastAsia"/>
          <w:szCs w:val="28"/>
          <w:lang w:val="fr-FR"/>
        </w:rPr>
        <w:t>DB43/T 1861—2020 成人高等教育课程教学质量评价规范</w:t>
      </w:r>
      <w:r>
        <w:rPr>
          <w:rFonts w:hint="eastAsia"/>
          <w:szCs w:val="28"/>
          <w:lang w:val="fr-FR" w:eastAsia="zh-CN"/>
        </w:rPr>
        <w:t>》《</w:t>
      </w:r>
      <w:r>
        <w:rPr>
          <w:rFonts w:hint="eastAsia"/>
          <w:szCs w:val="28"/>
          <w:lang w:val="fr-FR"/>
        </w:rPr>
        <w:t>DB4105/T 155—2021 研学旅行组织与服务规范</w:t>
      </w:r>
      <w:r>
        <w:rPr>
          <w:rFonts w:hint="eastAsia"/>
          <w:szCs w:val="28"/>
          <w:lang w:val="fr-FR" w:eastAsia="zh-CN"/>
        </w:rPr>
        <w:t>》《</w:t>
      </w:r>
      <w:r>
        <w:rPr>
          <w:rFonts w:hint="eastAsia"/>
          <w:szCs w:val="28"/>
          <w:lang w:val="fr-FR"/>
        </w:rPr>
        <w:t>GB/T 36642—2018 信息技术 学习、教育和培训 在线课程</w:t>
      </w:r>
      <w:r>
        <w:rPr>
          <w:rFonts w:hint="eastAsia"/>
          <w:szCs w:val="28"/>
          <w:lang w:val="fr-FR" w:eastAsia="zh-CN"/>
        </w:rPr>
        <w:t>》《</w:t>
      </w:r>
      <w:r>
        <w:rPr>
          <w:rFonts w:hint="eastAsia"/>
          <w:szCs w:val="28"/>
          <w:lang w:val="fr-FR"/>
        </w:rPr>
        <w:t>GB/T 38859—2020 干部网络培训 课程评价指标</w:t>
      </w:r>
      <w:r>
        <w:rPr>
          <w:rFonts w:hint="eastAsia"/>
          <w:szCs w:val="28"/>
          <w:lang w:val="fr-FR" w:eastAsia="zh-CN"/>
        </w:rPr>
        <w:t>》《</w:t>
      </w:r>
      <w:r>
        <w:rPr>
          <w:rFonts w:hint="eastAsia"/>
          <w:szCs w:val="28"/>
          <w:lang w:val="fr-FR"/>
        </w:rPr>
        <w:t>GB/T 39735—2020 政务服务评价工作指南</w:t>
      </w:r>
      <w:r>
        <w:rPr>
          <w:rFonts w:hint="eastAsia"/>
          <w:szCs w:val="28"/>
          <w:lang w:val="fr-FR" w:eastAsia="zh-CN"/>
        </w:rPr>
        <w:t>》《</w:t>
      </w:r>
      <w:r>
        <w:rPr>
          <w:rFonts w:hint="eastAsia"/>
          <w:szCs w:val="28"/>
          <w:lang w:val="fr-FR"/>
        </w:rPr>
        <w:t>LB/T 092—2025研学旅游课程与线路设计指南</w:t>
      </w:r>
      <w:r>
        <w:rPr>
          <w:rFonts w:hint="eastAsia"/>
          <w:szCs w:val="28"/>
          <w:lang w:val="fr-FR" w:eastAsia="zh-CN"/>
        </w:rPr>
        <w:t>》</w:t>
      </w:r>
      <w:r>
        <w:rPr>
          <w:rFonts w:hint="eastAsia" w:ascii="仿宋_GB2312" w:hAnsi="Times New Roman" w:cs="Times New Roman"/>
          <w:szCs w:val="28"/>
          <w:lang w:val="en-US" w:eastAsia="zh-CN"/>
        </w:rPr>
        <w:t>，</w:t>
      </w:r>
      <w:r>
        <w:rPr>
          <w:rFonts w:hint="eastAsia" w:ascii="仿宋_GB2312" w:hAnsi="仿宋"/>
          <w:szCs w:val="28"/>
        </w:rPr>
        <w:t>其中：</w:t>
      </w:r>
    </w:p>
    <w:p w14:paraId="1D7DB5E4">
      <w:pPr>
        <w:spacing w:line="560" w:lineRule="exact"/>
        <w:ind w:firstLine="640"/>
        <w:outlineLvl w:val="1"/>
        <w:rPr>
          <w:rFonts w:hint="eastAsia" w:ascii="仿宋_GB2312" w:eastAsia="仿宋_GB2312"/>
          <w:szCs w:val="28"/>
          <w:lang w:eastAsia="zh-CN"/>
        </w:rPr>
      </w:pPr>
      <w:r>
        <w:rPr>
          <w:rFonts w:hint="eastAsia" w:ascii="仿宋_GB2312"/>
          <w:szCs w:val="28"/>
        </w:rPr>
        <w:t>1.</w:t>
      </w:r>
      <w:r>
        <w:rPr>
          <w:rFonts w:hint="eastAsia" w:ascii="仿宋_GB2312" w:hAnsi="Times New Roman" w:cs="Times New Roman"/>
          <w:szCs w:val="28"/>
          <w:lang w:val="fr-FR" w:eastAsia="zh-CN"/>
        </w:rPr>
        <w:t>《</w:t>
      </w:r>
      <w:r>
        <w:rPr>
          <w:rFonts w:hint="eastAsia" w:ascii="仿宋_GB2312" w:hAnsi="Times New Roman" w:cs="Times New Roman"/>
          <w:szCs w:val="28"/>
        </w:rPr>
        <w:t>T</w:t>
      </w:r>
      <w:r>
        <w:rPr>
          <w:rFonts w:hint="eastAsia" w:ascii="仿宋_GB2312" w:hAnsi="Times New Roman" w:cs="Times New Roman"/>
          <w:szCs w:val="28"/>
          <w:lang w:val="en-US" w:eastAsia="zh-CN"/>
        </w:rPr>
        <w:t>/</w:t>
      </w:r>
      <w:r>
        <w:rPr>
          <w:rFonts w:hint="eastAsia" w:ascii="仿宋_GB2312" w:hAnsi="Times New Roman" w:cs="Times New Roman"/>
          <w:szCs w:val="28"/>
        </w:rPr>
        <w:t>CSWA 001—2023  科普视频评价指标体系</w:t>
      </w:r>
      <w:r>
        <w:rPr>
          <w:rFonts w:hint="eastAsia" w:ascii="仿宋_GB2312" w:hAnsi="Times New Roman" w:cs="Times New Roman"/>
          <w:szCs w:val="28"/>
          <w:lang w:eastAsia="zh-CN"/>
        </w:rPr>
        <w:t>》</w:t>
      </w:r>
      <w:r>
        <w:rPr>
          <w:rFonts w:hint="eastAsia" w:ascii="仿宋_GB2312"/>
          <w:szCs w:val="28"/>
        </w:rPr>
        <w:t>提供了科普视频评价的基本要求、评价方法和结果判定、指标体系等内容</w:t>
      </w:r>
      <w:r>
        <w:rPr>
          <w:rFonts w:hint="eastAsia" w:ascii="仿宋_GB2312"/>
          <w:szCs w:val="28"/>
          <w:lang w:eastAsia="zh-CN"/>
        </w:rPr>
        <w:t>，</w:t>
      </w:r>
      <w:r>
        <w:rPr>
          <w:rFonts w:hint="eastAsia" w:ascii="仿宋_GB2312"/>
          <w:szCs w:val="28"/>
        </w:rPr>
        <w:t>适用于时长不超过10分钟（含10分钟）的科普视频的评价活动</w:t>
      </w:r>
      <w:r>
        <w:rPr>
          <w:rFonts w:hint="eastAsia" w:ascii="仿宋_GB2312"/>
          <w:szCs w:val="28"/>
          <w:lang w:eastAsia="zh-CN"/>
        </w:rPr>
        <w:t>，</w:t>
      </w:r>
      <w:r>
        <w:rPr>
          <w:rFonts w:hint="eastAsia" w:ascii="仿宋_GB2312" w:hAnsi="Times New Roman" w:cs="Times New Roman"/>
          <w:szCs w:val="28"/>
          <w:lang w:val="en-US" w:eastAsia="zh-CN"/>
        </w:rPr>
        <w:t>不适用</w:t>
      </w:r>
      <w:r>
        <w:rPr>
          <w:rFonts w:hint="eastAsia" w:ascii="仿宋_GB2312" w:cs="Times New Roman"/>
          <w:szCs w:val="28"/>
          <w:lang w:val="en-US" w:eastAsia="zh-CN"/>
        </w:rPr>
        <w:t>农业科普研学课程设计评价</w:t>
      </w:r>
      <w:r>
        <w:rPr>
          <w:rFonts w:hint="eastAsia" w:ascii="仿宋_GB2312"/>
          <w:szCs w:val="28"/>
          <w:lang w:eastAsia="zh-CN"/>
        </w:rPr>
        <w:t>；</w:t>
      </w:r>
    </w:p>
    <w:p w14:paraId="43C0C568">
      <w:pPr>
        <w:spacing w:line="560" w:lineRule="exact"/>
        <w:ind w:firstLine="640"/>
        <w:outlineLvl w:val="1"/>
        <w:rPr>
          <w:rFonts w:hint="eastAsia" w:ascii="仿宋_GB2312"/>
          <w:szCs w:val="28"/>
        </w:rPr>
      </w:pPr>
      <w:r>
        <w:rPr>
          <w:rFonts w:hint="eastAsia" w:ascii="仿宋_GB2312"/>
          <w:szCs w:val="28"/>
          <w:lang w:val="en-US" w:eastAsia="zh-CN"/>
        </w:rPr>
        <w:t>2.</w:t>
      </w:r>
      <w:r>
        <w:rPr>
          <w:rFonts w:hint="eastAsia" w:ascii="仿宋_GB2312"/>
          <w:szCs w:val="28"/>
        </w:rPr>
        <w:t>《LB/T054—2</w:t>
      </w:r>
      <w:r>
        <w:rPr>
          <w:rFonts w:hint="eastAsia" w:ascii="仿宋_GB2312"/>
          <w:szCs w:val="28"/>
          <w:lang w:val="en-US" w:eastAsia="zh-CN"/>
        </w:rPr>
        <w:t>025</w:t>
      </w:r>
      <w:r>
        <w:rPr>
          <w:rFonts w:hint="eastAsia" w:ascii="仿宋_GB2312"/>
          <w:szCs w:val="28"/>
        </w:rPr>
        <w:t xml:space="preserve"> 研学旅游服务要求》规定了研学旅游产品和服务的总体要求、产品和服务内容、服务主体、人员配置与岗位职责、安全管理、反馈与改进等要求</w:t>
      </w:r>
      <w:r>
        <w:rPr>
          <w:rFonts w:hint="eastAsia" w:ascii="仿宋_GB2312"/>
          <w:szCs w:val="28"/>
          <w:lang w:eastAsia="zh-CN"/>
        </w:rPr>
        <w:t>，</w:t>
      </w:r>
      <w:r>
        <w:rPr>
          <w:rFonts w:hint="eastAsia" w:ascii="仿宋_GB2312"/>
          <w:szCs w:val="28"/>
        </w:rPr>
        <w:t>适用于中华人民共和国境内旅行社开展的研学旅游活动，但是没有对</w:t>
      </w:r>
      <w:r>
        <w:rPr>
          <w:rFonts w:hint="eastAsia" w:ascii="仿宋_GB2312"/>
          <w:szCs w:val="28"/>
          <w:lang w:val="en-US" w:eastAsia="zh-CN"/>
        </w:rPr>
        <w:t>农业</w:t>
      </w:r>
      <w:r>
        <w:rPr>
          <w:rFonts w:hint="eastAsia" w:ascii="仿宋_GB2312"/>
          <w:szCs w:val="28"/>
        </w:rPr>
        <w:t>科普研学课程的评价提出规定；</w:t>
      </w:r>
    </w:p>
    <w:p w14:paraId="09651CB6">
      <w:pPr>
        <w:spacing w:line="560" w:lineRule="exact"/>
        <w:ind w:firstLine="640"/>
        <w:outlineLvl w:val="1"/>
        <w:rPr>
          <w:rFonts w:hint="eastAsia" w:ascii="仿宋_GB2312"/>
          <w:szCs w:val="28"/>
        </w:rPr>
      </w:pPr>
      <w:r>
        <w:rPr>
          <w:rFonts w:hint="eastAsia" w:ascii="仿宋_GB2312"/>
          <w:szCs w:val="28"/>
          <w:lang w:val="en-US" w:eastAsia="zh-CN"/>
        </w:rPr>
        <w:t>3.</w:t>
      </w:r>
      <w:r>
        <w:rPr>
          <w:rFonts w:hint="eastAsia" w:ascii="仿宋_GB2312"/>
          <w:szCs w:val="28"/>
        </w:rPr>
        <w:t>《DB36/T 1413.4-2021 中小学研学旅行</w:t>
      </w:r>
      <w:r>
        <w:rPr>
          <w:rFonts w:hint="eastAsia" w:ascii="仿宋_GB2312"/>
          <w:szCs w:val="28"/>
          <w:lang w:val="en-US" w:eastAsia="zh-CN"/>
        </w:rPr>
        <w:t xml:space="preserve"> 第4部分：评价规范</w:t>
      </w:r>
      <w:r>
        <w:rPr>
          <w:rFonts w:hint="eastAsia" w:ascii="仿宋_GB2312"/>
          <w:szCs w:val="28"/>
        </w:rPr>
        <w:t>》规定了研学旅行的评价原则、评价主体、评价流程和内容、评价方法及评价结果运用等要求，没有明确</w:t>
      </w:r>
      <w:r>
        <w:rPr>
          <w:rFonts w:hint="eastAsia" w:ascii="仿宋_GB2312"/>
          <w:szCs w:val="28"/>
          <w:lang w:val="en-US" w:eastAsia="zh-CN"/>
        </w:rPr>
        <w:t>农业</w:t>
      </w:r>
      <w:r>
        <w:rPr>
          <w:rFonts w:hint="eastAsia" w:ascii="仿宋_GB2312"/>
          <w:szCs w:val="28"/>
        </w:rPr>
        <w:t>科普研学课程的评价方式</w:t>
      </w:r>
      <w:r>
        <w:rPr>
          <w:rFonts w:hint="eastAsia" w:ascii="仿宋_GB2312"/>
          <w:szCs w:val="28"/>
          <w:lang w:eastAsia="zh-CN"/>
        </w:rPr>
        <w:t>，</w:t>
      </w:r>
      <w:r>
        <w:rPr>
          <w:rFonts w:hint="eastAsia" w:ascii="仿宋_GB2312"/>
          <w:szCs w:val="28"/>
        </w:rPr>
        <w:t>不适用于本标准；</w:t>
      </w:r>
    </w:p>
    <w:p w14:paraId="3E8D8316">
      <w:pPr>
        <w:spacing w:line="560" w:lineRule="exact"/>
        <w:ind w:firstLine="640"/>
        <w:outlineLvl w:val="1"/>
        <w:rPr>
          <w:rFonts w:hint="eastAsia" w:ascii="仿宋_GB2312"/>
          <w:szCs w:val="28"/>
          <w:lang w:eastAsia="zh-CN"/>
        </w:rPr>
      </w:pPr>
      <w:r>
        <w:rPr>
          <w:rFonts w:hint="eastAsia" w:ascii="仿宋_GB2312"/>
          <w:szCs w:val="28"/>
          <w:lang w:val="en-US" w:eastAsia="zh-CN"/>
        </w:rPr>
        <w:t>4.</w:t>
      </w:r>
      <w:r>
        <w:rPr>
          <w:rFonts w:hint="eastAsia"/>
          <w:szCs w:val="28"/>
          <w:lang w:val="fr-FR" w:eastAsia="zh-CN"/>
        </w:rPr>
        <w:t>《</w:t>
      </w:r>
      <w:r>
        <w:rPr>
          <w:rFonts w:hint="eastAsia"/>
          <w:szCs w:val="28"/>
          <w:lang w:val="fr-FR"/>
        </w:rPr>
        <w:t>DB36/T 1413.2—2021 中小学研学旅行 第2部分：课程设置规范</w:t>
      </w:r>
      <w:r>
        <w:rPr>
          <w:rFonts w:hint="eastAsia"/>
          <w:szCs w:val="28"/>
          <w:lang w:val="fr-FR" w:eastAsia="zh-CN"/>
        </w:rPr>
        <w:t>》主要是规范了研学旅行课程性质、课程理念、课程结构、课程目标、课程内容、课程类别及其实施建议等要求，</w:t>
      </w:r>
      <w:r>
        <w:rPr>
          <w:rFonts w:hint="eastAsia" w:ascii="仿宋_GB2312"/>
          <w:szCs w:val="28"/>
        </w:rPr>
        <w:t>没有</w:t>
      </w:r>
      <w:r>
        <w:rPr>
          <w:rFonts w:hint="eastAsia" w:ascii="仿宋_GB2312"/>
          <w:szCs w:val="28"/>
          <w:lang w:val="en-US" w:eastAsia="zh-CN"/>
        </w:rPr>
        <w:t>涉及农业</w:t>
      </w:r>
      <w:r>
        <w:rPr>
          <w:rFonts w:hint="eastAsia" w:ascii="仿宋_GB2312"/>
          <w:szCs w:val="28"/>
        </w:rPr>
        <w:t>科普研学课程的评价方式</w:t>
      </w:r>
      <w:r>
        <w:rPr>
          <w:rFonts w:hint="eastAsia" w:ascii="仿宋_GB2312"/>
          <w:szCs w:val="28"/>
          <w:lang w:eastAsia="zh-CN"/>
        </w:rPr>
        <w:t>，</w:t>
      </w:r>
      <w:r>
        <w:rPr>
          <w:rFonts w:hint="eastAsia" w:ascii="仿宋_GB2312"/>
          <w:szCs w:val="28"/>
        </w:rPr>
        <w:t>不适用于本标准</w:t>
      </w:r>
      <w:r>
        <w:rPr>
          <w:rFonts w:hint="eastAsia" w:ascii="仿宋_GB2312"/>
          <w:szCs w:val="28"/>
          <w:lang w:eastAsia="zh-CN"/>
        </w:rPr>
        <w:t>；</w:t>
      </w:r>
    </w:p>
    <w:p w14:paraId="5F32A10A">
      <w:pPr>
        <w:spacing w:line="560" w:lineRule="exact"/>
        <w:ind w:firstLine="640"/>
        <w:outlineLvl w:val="1"/>
        <w:rPr>
          <w:rFonts w:hint="eastAsia" w:ascii="仿宋_GB2312" w:hAnsi="Times New Roman" w:cs="Times New Roman"/>
          <w:szCs w:val="28"/>
          <w:lang w:eastAsia="zh-CN"/>
        </w:rPr>
      </w:pPr>
      <w:r>
        <w:rPr>
          <w:rFonts w:hint="eastAsia" w:ascii="仿宋_GB2312"/>
          <w:szCs w:val="28"/>
          <w:lang w:val="en-US" w:eastAsia="zh-CN"/>
        </w:rPr>
        <w:t>5.</w:t>
      </w:r>
      <w:r>
        <w:rPr>
          <w:rFonts w:hint="eastAsia" w:ascii="仿宋_GB2312" w:hAnsi="Times New Roman" w:cs="Times New Roman"/>
          <w:szCs w:val="28"/>
          <w:lang w:eastAsia="zh-CN"/>
        </w:rPr>
        <w:t>《</w:t>
      </w:r>
      <w:r>
        <w:rPr>
          <w:rFonts w:hint="eastAsia" w:ascii="仿宋_GB2312" w:hAnsi="Times New Roman" w:cs="Times New Roman"/>
          <w:szCs w:val="28"/>
        </w:rPr>
        <w:t>DB3715/T 30-2023</w:t>
      </w:r>
      <w:r>
        <w:rPr>
          <w:rFonts w:hint="eastAsia" w:ascii="仿宋_GB2312" w:hAnsi="Times New Roman" w:cs="Times New Roman"/>
          <w:szCs w:val="28"/>
          <w:lang w:val="en-US" w:eastAsia="zh-CN"/>
        </w:rPr>
        <w:t xml:space="preserve"> 研学旅行服务规范</w:t>
      </w:r>
      <w:r>
        <w:rPr>
          <w:rFonts w:hint="eastAsia" w:ascii="仿宋_GB2312" w:hAnsi="Times New Roman" w:cs="Times New Roman"/>
          <w:szCs w:val="28"/>
          <w:lang w:eastAsia="zh-CN"/>
        </w:rPr>
        <w:t>》规定了研学旅行组织实施过程中所涉及的主办方、承办方、供应方等相关方的基本原则、基本要求、人员配置、组织实施和安全管理、评价的基本要求，适用于研学旅行活动的主办方、承办方及供应方，</w:t>
      </w:r>
      <w:r>
        <w:rPr>
          <w:rFonts w:hint="eastAsia" w:ascii="仿宋_GB2312" w:hAnsi="Times New Roman" w:cs="Times New Roman"/>
          <w:szCs w:val="28"/>
          <w:lang w:val="en-US" w:eastAsia="zh-CN"/>
        </w:rPr>
        <w:t>不适用</w:t>
      </w:r>
      <w:r>
        <w:rPr>
          <w:rFonts w:hint="eastAsia" w:ascii="仿宋_GB2312" w:cs="Times New Roman"/>
          <w:szCs w:val="28"/>
          <w:lang w:val="en-US" w:eastAsia="zh-CN"/>
        </w:rPr>
        <w:t>农业科普研学课程设计评价</w:t>
      </w:r>
      <w:r>
        <w:rPr>
          <w:rFonts w:hint="eastAsia" w:ascii="仿宋_GB2312"/>
          <w:szCs w:val="28"/>
          <w:lang w:eastAsia="zh-CN"/>
        </w:rPr>
        <w:t>；</w:t>
      </w:r>
    </w:p>
    <w:p w14:paraId="47A36828">
      <w:pPr>
        <w:spacing w:line="560" w:lineRule="exact"/>
        <w:ind w:firstLine="640"/>
        <w:outlineLvl w:val="1"/>
        <w:rPr>
          <w:rFonts w:hint="eastAsia" w:ascii="仿宋_GB2312"/>
          <w:szCs w:val="28"/>
        </w:rPr>
      </w:pPr>
      <w:r>
        <w:rPr>
          <w:rFonts w:hint="eastAsia" w:ascii="仿宋_GB2312"/>
          <w:szCs w:val="28"/>
          <w:lang w:val="en-US" w:eastAsia="zh-CN"/>
        </w:rPr>
        <w:t>6.</w:t>
      </w:r>
      <w:r>
        <w:rPr>
          <w:rFonts w:hint="eastAsia" w:ascii="仿宋_GB2312"/>
          <w:szCs w:val="28"/>
        </w:rPr>
        <w:t>《DB4105/T 240—2024 研学旅行综合评价指南》本文件给出了研学旅行的评价原则、评价主体、评价内容和方法及评价结果运用等方面的建议，仅适用于中小学生研学旅行活动的综合评价</w:t>
      </w:r>
      <w:r>
        <w:rPr>
          <w:rFonts w:hint="eastAsia" w:ascii="仿宋_GB2312"/>
          <w:szCs w:val="28"/>
          <w:lang w:eastAsia="zh-CN"/>
        </w:rPr>
        <w:t>，</w:t>
      </w:r>
      <w:r>
        <w:rPr>
          <w:rFonts w:hint="eastAsia" w:ascii="仿宋_GB2312" w:hAnsi="Times New Roman" w:cs="Times New Roman"/>
          <w:szCs w:val="28"/>
          <w:lang w:val="en-US" w:eastAsia="zh-CN"/>
        </w:rPr>
        <w:t>不适用</w:t>
      </w:r>
      <w:r>
        <w:rPr>
          <w:rFonts w:hint="eastAsia" w:ascii="仿宋_GB2312" w:cs="Times New Roman"/>
          <w:szCs w:val="28"/>
          <w:lang w:val="en-US" w:eastAsia="zh-CN"/>
        </w:rPr>
        <w:t>农业科普研学课程设计评价</w:t>
      </w:r>
      <w:r>
        <w:rPr>
          <w:rFonts w:hint="eastAsia" w:ascii="仿宋_GB2312"/>
          <w:szCs w:val="28"/>
        </w:rPr>
        <w:t>。</w:t>
      </w:r>
    </w:p>
    <w:p w14:paraId="67508AC0">
      <w:pPr>
        <w:spacing w:line="560" w:lineRule="exact"/>
        <w:ind w:firstLine="640"/>
        <w:outlineLvl w:val="1"/>
        <w:rPr>
          <w:rFonts w:hint="eastAsia" w:ascii="仿宋_GB2312" w:hAnsi="Times New Roman" w:cs="Times New Roman"/>
          <w:szCs w:val="28"/>
          <w:lang w:val="en-US" w:eastAsia="zh-CN"/>
        </w:rPr>
      </w:pPr>
      <w:r>
        <w:rPr>
          <w:rFonts w:hint="eastAsia" w:ascii="仿宋_GB2312"/>
          <w:szCs w:val="28"/>
          <w:lang w:val="en-US" w:eastAsia="zh-CN"/>
        </w:rPr>
        <w:t>7.</w:t>
      </w:r>
      <w:r>
        <w:rPr>
          <w:rFonts w:hint="eastAsia" w:ascii="仿宋_GB2312" w:hAnsi="Times New Roman" w:cs="Times New Roman"/>
          <w:szCs w:val="28"/>
          <w:lang w:val="en-US" w:eastAsia="zh-CN"/>
        </w:rPr>
        <w:t>《</w:t>
      </w:r>
      <w:r>
        <w:rPr>
          <w:rFonts w:hint="eastAsia" w:ascii="仿宋_GB2312" w:hAnsi="Times New Roman" w:cs="Times New Roman"/>
          <w:szCs w:val="28"/>
        </w:rPr>
        <w:t>DB 64/T 2150—2025</w:t>
      </w:r>
      <w:r>
        <w:rPr>
          <w:rFonts w:hint="eastAsia" w:ascii="仿宋_GB2312" w:hAnsi="Times New Roman" w:cs="Times New Roman"/>
          <w:szCs w:val="28"/>
          <w:lang w:val="en-US" w:eastAsia="zh-CN"/>
        </w:rPr>
        <w:t xml:space="preserve"> 科普研学实施规范》确立了科普研学实施的总体原则，规定了科普研学实施的总体要求和机构与人员要求，以及科普研学实施、对外宣传、实施保障和评价改进的相关要求，适用于青少年科普研学活动的实施，不适用</w:t>
      </w:r>
      <w:r>
        <w:rPr>
          <w:rFonts w:hint="eastAsia" w:ascii="仿宋_GB2312" w:cs="Times New Roman"/>
          <w:szCs w:val="28"/>
          <w:lang w:val="en-US" w:eastAsia="zh-CN"/>
        </w:rPr>
        <w:t>农业科普研学课程设计评价</w:t>
      </w:r>
      <w:r>
        <w:rPr>
          <w:rFonts w:hint="eastAsia" w:ascii="仿宋_GB2312" w:hAnsi="Times New Roman" w:cs="Times New Roman"/>
          <w:szCs w:val="28"/>
          <w:lang w:val="en-US" w:eastAsia="zh-CN"/>
        </w:rPr>
        <w:t>。</w:t>
      </w:r>
    </w:p>
    <w:p w14:paraId="03E6DA22">
      <w:pPr>
        <w:spacing w:line="560" w:lineRule="exact"/>
        <w:ind w:firstLine="640"/>
        <w:outlineLvl w:val="1"/>
        <w:rPr>
          <w:rFonts w:hint="eastAsia" w:ascii="仿宋_GB2312" w:cs="Times New Roman"/>
          <w:szCs w:val="28"/>
          <w:lang w:val="en-US" w:eastAsia="zh-CN"/>
        </w:rPr>
      </w:pPr>
      <w:r>
        <w:rPr>
          <w:rFonts w:hint="eastAsia" w:ascii="仿宋_GB2312" w:cs="Times New Roman"/>
          <w:szCs w:val="28"/>
          <w:lang w:val="en-US" w:eastAsia="zh-CN"/>
        </w:rPr>
        <w:t>8.</w:t>
      </w:r>
      <w:r>
        <w:rPr>
          <w:rFonts w:hint="eastAsia"/>
          <w:szCs w:val="28"/>
          <w:lang w:val="fr-FR" w:eastAsia="zh-CN"/>
        </w:rPr>
        <w:t>《</w:t>
      </w:r>
      <w:r>
        <w:rPr>
          <w:rFonts w:hint="eastAsia"/>
          <w:szCs w:val="28"/>
          <w:lang w:val="fr-FR"/>
        </w:rPr>
        <w:t>DB43/T 1861—2020 成人高等教育课程教学质量评价规范</w:t>
      </w:r>
      <w:r>
        <w:rPr>
          <w:rFonts w:hint="eastAsia"/>
          <w:szCs w:val="28"/>
          <w:lang w:val="fr-FR" w:eastAsia="zh-CN"/>
        </w:rPr>
        <w:t>》本文件规定了成人高等教育课程教学质量评价的范围、术语及定义、总则、评价指标体系设计与权重、调查方法、计算方法和评价等级划分等内容，适用于开设了成人高等教育课程的高等院校教学机构及函授站，</w:t>
      </w:r>
      <w:r>
        <w:rPr>
          <w:rFonts w:hint="eastAsia" w:ascii="仿宋_GB2312" w:hAnsi="Times New Roman" w:cs="Times New Roman"/>
          <w:szCs w:val="28"/>
          <w:lang w:val="en-US" w:eastAsia="zh-CN"/>
        </w:rPr>
        <w:t>不适用</w:t>
      </w:r>
      <w:r>
        <w:rPr>
          <w:rFonts w:hint="eastAsia" w:ascii="仿宋_GB2312" w:cs="Times New Roman"/>
          <w:szCs w:val="28"/>
          <w:lang w:val="en-US" w:eastAsia="zh-CN"/>
        </w:rPr>
        <w:t>农业科普研学课程设计评价。</w:t>
      </w:r>
    </w:p>
    <w:p w14:paraId="0399929E">
      <w:pPr>
        <w:spacing w:line="560" w:lineRule="exact"/>
        <w:ind w:firstLine="640"/>
        <w:outlineLvl w:val="1"/>
        <w:rPr>
          <w:rFonts w:hint="eastAsia" w:ascii="仿宋_GB2312" w:cs="Times New Roman"/>
          <w:szCs w:val="28"/>
          <w:lang w:val="en-US" w:eastAsia="zh-CN"/>
        </w:rPr>
      </w:pPr>
      <w:r>
        <w:rPr>
          <w:rFonts w:hint="eastAsia" w:ascii="仿宋_GB2312" w:cs="Times New Roman"/>
          <w:szCs w:val="28"/>
          <w:lang w:val="en-US" w:eastAsia="zh-CN"/>
        </w:rPr>
        <w:t>9.</w:t>
      </w:r>
      <w:r>
        <w:rPr>
          <w:rFonts w:hint="eastAsia"/>
          <w:szCs w:val="28"/>
          <w:lang w:val="fr-FR" w:eastAsia="zh-CN"/>
        </w:rPr>
        <w:t>《</w:t>
      </w:r>
      <w:r>
        <w:rPr>
          <w:rFonts w:hint="eastAsia"/>
          <w:szCs w:val="28"/>
          <w:lang w:val="fr-FR"/>
        </w:rPr>
        <w:t>DB4105/T 155—2021 研学旅行组织与服务规范</w:t>
      </w:r>
      <w:r>
        <w:rPr>
          <w:rFonts w:hint="eastAsia"/>
          <w:szCs w:val="28"/>
          <w:lang w:val="fr-FR" w:eastAsia="zh-CN"/>
        </w:rPr>
        <w:t>》本文件规定了研学旅行组织与服务的服务提供方基本要求、组织要求、服务要求、人员配置与要求、安全保障与要求等，适用于安阳市行政区域内组织开展的研学旅行活动，</w:t>
      </w:r>
      <w:r>
        <w:rPr>
          <w:rFonts w:hint="eastAsia" w:ascii="仿宋_GB2312" w:hAnsi="Times New Roman" w:cs="Times New Roman"/>
          <w:szCs w:val="28"/>
          <w:lang w:val="en-US" w:eastAsia="zh-CN"/>
        </w:rPr>
        <w:t>不适用</w:t>
      </w:r>
      <w:r>
        <w:rPr>
          <w:rFonts w:hint="eastAsia" w:ascii="仿宋_GB2312" w:cs="Times New Roman"/>
          <w:szCs w:val="28"/>
          <w:lang w:val="en-US" w:eastAsia="zh-CN"/>
        </w:rPr>
        <w:t>农业科普研学课程设计评价。</w:t>
      </w:r>
    </w:p>
    <w:p w14:paraId="0E3F17F2">
      <w:pPr>
        <w:spacing w:line="560" w:lineRule="exact"/>
        <w:ind w:firstLine="640"/>
        <w:outlineLvl w:val="1"/>
        <w:rPr>
          <w:rFonts w:hint="eastAsia" w:ascii="仿宋_GB2312" w:cs="Times New Roman"/>
          <w:szCs w:val="28"/>
          <w:lang w:val="en-US" w:eastAsia="zh-CN"/>
        </w:rPr>
      </w:pPr>
      <w:r>
        <w:rPr>
          <w:rFonts w:hint="eastAsia" w:ascii="仿宋_GB2312" w:cs="Times New Roman"/>
          <w:szCs w:val="28"/>
          <w:lang w:val="en-US" w:eastAsia="zh-CN"/>
        </w:rPr>
        <w:t>10.</w:t>
      </w:r>
      <w:r>
        <w:rPr>
          <w:rFonts w:hint="eastAsia"/>
          <w:szCs w:val="28"/>
          <w:lang w:val="fr-FR" w:eastAsia="zh-CN"/>
        </w:rPr>
        <w:t>《</w:t>
      </w:r>
      <w:r>
        <w:rPr>
          <w:rFonts w:hint="eastAsia"/>
          <w:szCs w:val="28"/>
          <w:lang w:val="fr-FR"/>
        </w:rPr>
        <w:t>GB/T 36642—2018 信息技术 学习、教育和培训 在线课程</w:t>
      </w:r>
      <w:r>
        <w:rPr>
          <w:rFonts w:hint="eastAsia"/>
          <w:szCs w:val="28"/>
          <w:lang w:val="fr-FR" w:eastAsia="zh-CN"/>
        </w:rPr>
        <w:t>》给出了在线课程和评价方案的信息模型和要素、在线课程的评价原则，规定了各要素的功能和属性以及相应的XML绑定，适用于对不同类型的在线课程开展建设及评价，适用于需要开放共享和在不同平台间迁移的在线课程的设计、资源开发，</w:t>
      </w:r>
      <w:r>
        <w:rPr>
          <w:rFonts w:hint="eastAsia" w:ascii="仿宋_GB2312" w:hAnsi="Times New Roman" w:cs="Times New Roman"/>
          <w:szCs w:val="28"/>
          <w:lang w:val="en-US" w:eastAsia="zh-CN"/>
        </w:rPr>
        <w:t>不适用</w:t>
      </w:r>
      <w:r>
        <w:rPr>
          <w:rFonts w:hint="eastAsia" w:ascii="仿宋_GB2312" w:cs="Times New Roman"/>
          <w:szCs w:val="28"/>
          <w:lang w:val="en-US" w:eastAsia="zh-CN"/>
        </w:rPr>
        <w:t>农业科普研学课程设计评价。</w:t>
      </w:r>
    </w:p>
    <w:p w14:paraId="72A73352">
      <w:pPr>
        <w:spacing w:line="560" w:lineRule="exact"/>
        <w:ind w:firstLine="640"/>
        <w:outlineLvl w:val="1"/>
        <w:rPr>
          <w:rFonts w:hint="eastAsia"/>
          <w:szCs w:val="28"/>
          <w:lang w:val="fr-FR" w:eastAsia="zh-CN"/>
        </w:rPr>
      </w:pPr>
      <w:r>
        <w:rPr>
          <w:rFonts w:hint="eastAsia" w:ascii="仿宋_GB2312" w:cs="Times New Roman"/>
          <w:szCs w:val="28"/>
          <w:lang w:val="en-US" w:eastAsia="zh-CN"/>
        </w:rPr>
        <w:t>11.</w:t>
      </w:r>
      <w:r>
        <w:rPr>
          <w:rFonts w:hint="eastAsia"/>
          <w:szCs w:val="28"/>
          <w:lang w:val="fr-FR" w:eastAsia="zh-CN"/>
        </w:rPr>
        <w:t>《</w:t>
      </w:r>
      <w:r>
        <w:rPr>
          <w:rFonts w:hint="eastAsia"/>
          <w:szCs w:val="28"/>
          <w:lang w:val="fr-FR"/>
        </w:rPr>
        <w:t>GB/T 38859—2020 干部网络培训 课程评价指标</w:t>
      </w:r>
      <w:r>
        <w:rPr>
          <w:rFonts w:hint="eastAsia"/>
          <w:szCs w:val="28"/>
          <w:lang w:val="fr-FR" w:eastAsia="zh-CN"/>
        </w:rPr>
        <w:t>》规定了干部网络培训课程评价原则与通用评价指标，适用于对正式发布使用的干部网络培训课程的质量和使用效果进行评价的活动，</w:t>
      </w:r>
      <w:r>
        <w:rPr>
          <w:rFonts w:hint="eastAsia" w:ascii="仿宋_GB2312" w:hAnsi="Times New Roman" w:cs="Times New Roman"/>
          <w:szCs w:val="28"/>
          <w:lang w:val="en-US" w:eastAsia="zh-CN"/>
        </w:rPr>
        <w:t>不适用</w:t>
      </w:r>
      <w:r>
        <w:rPr>
          <w:rFonts w:hint="eastAsia" w:ascii="仿宋_GB2312" w:cs="Times New Roman"/>
          <w:szCs w:val="28"/>
          <w:lang w:val="en-US" w:eastAsia="zh-CN"/>
        </w:rPr>
        <w:t>农业科普研学课程设计评价。</w:t>
      </w:r>
    </w:p>
    <w:p w14:paraId="35E691CF">
      <w:pPr>
        <w:spacing w:line="560" w:lineRule="exact"/>
        <w:ind w:firstLine="640"/>
        <w:outlineLvl w:val="1"/>
        <w:rPr>
          <w:rFonts w:hint="eastAsia"/>
          <w:szCs w:val="28"/>
          <w:lang w:val="fr-FR" w:eastAsia="zh-CN"/>
        </w:rPr>
      </w:pPr>
      <w:r>
        <w:rPr>
          <w:rFonts w:hint="eastAsia"/>
          <w:szCs w:val="28"/>
          <w:lang w:val="en-US" w:eastAsia="zh-CN"/>
        </w:rPr>
        <w:t>12.</w:t>
      </w:r>
      <w:r>
        <w:rPr>
          <w:rFonts w:hint="eastAsia"/>
          <w:szCs w:val="28"/>
          <w:lang w:val="fr-FR" w:eastAsia="zh-CN"/>
        </w:rPr>
        <w:t>《</w:t>
      </w:r>
      <w:r>
        <w:rPr>
          <w:rFonts w:hint="eastAsia"/>
          <w:szCs w:val="28"/>
          <w:lang w:val="fr-FR"/>
        </w:rPr>
        <w:t>GB/T 39735—2020 政务服务评价工作指南</w:t>
      </w:r>
      <w:r>
        <w:rPr>
          <w:rFonts w:hint="eastAsia"/>
          <w:szCs w:val="28"/>
          <w:lang w:val="fr-FR" w:eastAsia="zh-CN"/>
        </w:rPr>
        <w:t>》给出了依申请的政务服务评价工作的评价基本原则，以及评价渠道、评价内容、评价方法、评价结果运用和持续改进等方面的要求，适用于对全国各级政务服务机构、各类政务服务平台、政务服务事项和人员的服务开展评价工作。</w:t>
      </w:r>
      <w:r>
        <w:rPr>
          <w:rFonts w:hint="eastAsia" w:ascii="仿宋_GB2312" w:hAnsi="Times New Roman" w:cs="Times New Roman"/>
          <w:szCs w:val="28"/>
          <w:lang w:val="en-US" w:eastAsia="zh-CN"/>
        </w:rPr>
        <w:t>不适用</w:t>
      </w:r>
      <w:r>
        <w:rPr>
          <w:rFonts w:hint="eastAsia" w:ascii="仿宋_GB2312" w:cs="Times New Roman"/>
          <w:szCs w:val="28"/>
          <w:lang w:val="en-US" w:eastAsia="zh-CN"/>
        </w:rPr>
        <w:t>农业科普研学课程设计评价。</w:t>
      </w:r>
    </w:p>
    <w:p w14:paraId="5E04E41C">
      <w:pPr>
        <w:spacing w:line="560" w:lineRule="exact"/>
        <w:ind w:firstLine="640"/>
        <w:outlineLvl w:val="1"/>
        <w:rPr>
          <w:rFonts w:hint="eastAsia" w:ascii="仿宋_GB2312" w:cs="Times New Roman"/>
          <w:szCs w:val="28"/>
          <w:lang w:val="en-US" w:eastAsia="zh-CN"/>
        </w:rPr>
      </w:pPr>
      <w:r>
        <w:rPr>
          <w:rFonts w:hint="eastAsia"/>
          <w:szCs w:val="28"/>
          <w:lang w:val="en-US" w:eastAsia="zh-CN"/>
        </w:rPr>
        <w:t>13.</w:t>
      </w:r>
      <w:r>
        <w:rPr>
          <w:rFonts w:hint="eastAsia"/>
          <w:szCs w:val="28"/>
          <w:lang w:val="fr-FR" w:eastAsia="zh-CN"/>
        </w:rPr>
        <w:t>《</w:t>
      </w:r>
      <w:r>
        <w:rPr>
          <w:rFonts w:hint="eastAsia"/>
          <w:szCs w:val="28"/>
          <w:lang w:val="fr-FR"/>
        </w:rPr>
        <w:t>LB/T 092—2025研学旅游课程与线路设计指南</w:t>
      </w:r>
      <w:r>
        <w:rPr>
          <w:rFonts w:hint="eastAsia"/>
          <w:szCs w:val="28"/>
          <w:lang w:val="fr-FR" w:eastAsia="zh-CN"/>
        </w:rPr>
        <w:t>》提供了研学旅游课程与线路的设计原则及调研设计、实施设计、资料生成、评价设计等方面的指南，适用于在中华人民共和国境内设立的提供研学旅游产品与服务的机构开发设计的研学旅游课程与线路，</w:t>
      </w:r>
      <w:r>
        <w:rPr>
          <w:rFonts w:hint="eastAsia" w:ascii="仿宋_GB2312" w:hAnsi="Times New Roman" w:cs="Times New Roman"/>
          <w:szCs w:val="28"/>
          <w:lang w:val="en-US" w:eastAsia="zh-CN"/>
        </w:rPr>
        <w:t>不适用</w:t>
      </w:r>
      <w:r>
        <w:rPr>
          <w:rFonts w:hint="eastAsia" w:ascii="仿宋_GB2312" w:cs="Times New Roman"/>
          <w:szCs w:val="28"/>
          <w:lang w:val="en-US" w:eastAsia="zh-CN"/>
        </w:rPr>
        <w:t>农业科普研学课程设计评价。</w:t>
      </w:r>
    </w:p>
    <w:p w14:paraId="610AE855">
      <w:pPr>
        <w:autoSpaceDE w:val="0"/>
        <w:autoSpaceDN w:val="0"/>
        <w:adjustRightInd w:val="0"/>
        <w:spacing w:line="560" w:lineRule="exact"/>
        <w:ind w:firstLine="640"/>
        <w:jc w:val="left"/>
        <w:outlineLvl w:val="0"/>
        <w:rPr>
          <w:rFonts w:hint="eastAsia" w:ascii="仿宋_GB2312" w:hAnsi="宋体"/>
        </w:rPr>
      </w:pPr>
      <w:r>
        <w:rPr>
          <w:rFonts w:hint="eastAsia" w:ascii="仿宋_GB2312" w:hAnsi="宋体"/>
          <w:lang w:val="en-US" w:eastAsia="zh-CN"/>
        </w:rPr>
        <w:t>综上，以上标准没有针对农业科普研学课程设计评价的相关标准。</w:t>
      </w:r>
      <w:bookmarkStart w:id="1" w:name="_Toc526940084"/>
      <w:r>
        <w:rPr>
          <w:rFonts w:hint="eastAsia" w:ascii="仿宋_GB2312" w:hAnsi="宋体"/>
        </w:rPr>
        <w:t>本标准聚焦于</w:t>
      </w:r>
      <w:r>
        <w:rPr>
          <w:rFonts w:hint="eastAsia" w:ascii="仿宋_GB2312" w:hAnsi="宋体"/>
          <w:lang w:eastAsia="zh-CN"/>
        </w:rPr>
        <w:t>农业科普研学课程设计评价</w:t>
      </w:r>
      <w:r>
        <w:rPr>
          <w:rFonts w:hint="eastAsia" w:ascii="仿宋_GB2312" w:hAnsi="宋体"/>
        </w:rPr>
        <w:t>这一细分领域，突出农业科普</w:t>
      </w:r>
      <w:r>
        <w:rPr>
          <w:rFonts w:hint="eastAsia" w:ascii="仿宋_GB2312" w:hAnsi="宋体"/>
          <w:lang w:val="en-US" w:eastAsia="zh-CN"/>
        </w:rPr>
        <w:t>教育</w:t>
      </w:r>
      <w:r>
        <w:rPr>
          <w:rFonts w:hint="eastAsia" w:ascii="仿宋_GB2312" w:hAnsi="宋体"/>
        </w:rPr>
        <w:t>特色，是对现有标准体系的有效补充和完善。</w:t>
      </w:r>
    </w:p>
    <w:p w14:paraId="7A7FEAEE">
      <w:pPr>
        <w:autoSpaceDE w:val="0"/>
        <w:autoSpaceDN w:val="0"/>
        <w:adjustRightInd w:val="0"/>
        <w:spacing w:before="156" w:beforeLines="50" w:after="156" w:afterLines="50" w:line="560" w:lineRule="exact"/>
        <w:ind w:firstLine="640"/>
        <w:jc w:val="left"/>
        <w:outlineLvl w:val="0"/>
        <w:rPr>
          <w:rFonts w:hint="eastAsia" w:ascii="黑体" w:hAnsi="黑体" w:eastAsia="黑体" w:cs="仿宋_GB2312"/>
          <w:szCs w:val="32"/>
        </w:rPr>
      </w:pPr>
      <w:r>
        <w:rPr>
          <w:rFonts w:hint="eastAsia" w:ascii="黑体" w:hAnsi="黑体" w:eastAsia="黑体" w:cs="仿宋_GB2312"/>
          <w:szCs w:val="32"/>
        </w:rPr>
        <w:t>五、</w:t>
      </w:r>
      <w:bookmarkEnd w:id="1"/>
      <w:r>
        <w:rPr>
          <w:rFonts w:hint="eastAsia" w:ascii="黑体" w:hAnsi="黑体" w:eastAsia="黑体" w:cs="仿宋_GB2312"/>
          <w:szCs w:val="32"/>
        </w:rPr>
        <w:t>主要条款的说明</w:t>
      </w:r>
    </w:p>
    <w:p w14:paraId="18649570">
      <w:pPr>
        <w:spacing w:line="560" w:lineRule="exact"/>
        <w:ind w:firstLine="640"/>
        <w:rPr>
          <w:rFonts w:hint="eastAsia" w:ascii="仿宋_GB2312" w:hAnsi="宋体"/>
          <w:szCs w:val="32"/>
          <w:lang w:val="zh-CN"/>
        </w:rPr>
      </w:pPr>
      <w:r>
        <w:rPr>
          <w:rFonts w:hint="eastAsia" w:ascii="仿宋_GB2312" w:hAnsi="宋体"/>
          <w:szCs w:val="32"/>
          <w:lang w:val="zh-CN"/>
        </w:rPr>
        <w:t>团体标准《农业科普研学课程设计评价规范》的主要章节内容包括：术语和定义、</w:t>
      </w:r>
      <w:r>
        <w:rPr>
          <w:rFonts w:hint="eastAsia" w:ascii="仿宋_GB2312" w:hAnsi="宋体"/>
          <w:szCs w:val="32"/>
          <w:lang w:val="en-US" w:eastAsia="zh-CN"/>
        </w:rPr>
        <w:t>评价原则、</w:t>
      </w:r>
      <w:r>
        <w:rPr>
          <w:rFonts w:hint="eastAsia"/>
        </w:rPr>
        <w:t>评价内容、</w:t>
      </w:r>
      <w:r>
        <w:rPr>
          <w:rFonts w:hint="eastAsia"/>
          <w:lang w:eastAsia="zh-CN"/>
        </w:rPr>
        <w:t>评价方法</w:t>
      </w:r>
      <w:r>
        <w:rPr>
          <w:rFonts w:hint="eastAsia"/>
        </w:rPr>
        <w:t>、</w:t>
      </w:r>
      <w:r>
        <w:rPr>
          <w:rFonts w:hint="eastAsia"/>
          <w:lang w:eastAsia="zh-CN"/>
        </w:rPr>
        <w:t>评价流程及要求</w:t>
      </w:r>
      <w:r>
        <w:rPr>
          <w:rFonts w:hint="eastAsia" w:ascii="仿宋_GB2312" w:hAnsi="宋体"/>
          <w:szCs w:val="32"/>
          <w:lang w:val="zh-CN"/>
        </w:rPr>
        <w:t>。适用于</w:t>
      </w:r>
      <w:r>
        <w:rPr>
          <w:rFonts w:hint="eastAsia" w:ascii="仿宋_GB2312" w:hAnsi="宋体"/>
          <w:szCs w:val="32"/>
          <w:lang w:eastAsia="zh-CN"/>
        </w:rPr>
        <w:t>农业科普研学课程设计评价</w:t>
      </w:r>
      <w:r>
        <w:rPr>
          <w:rFonts w:hint="eastAsia" w:ascii="仿宋_GB2312" w:hAnsi="宋体"/>
          <w:szCs w:val="32"/>
          <w:lang w:val="zh-CN"/>
        </w:rPr>
        <w:t>。本文件主要内容及依据来源说明如下：</w:t>
      </w:r>
    </w:p>
    <w:p w14:paraId="65C5AF98">
      <w:pPr>
        <w:pStyle w:val="35"/>
        <w:autoSpaceDE w:val="0"/>
        <w:autoSpaceDN w:val="0"/>
        <w:adjustRightInd w:val="0"/>
        <w:spacing w:line="560" w:lineRule="exact"/>
        <w:ind w:firstLine="643"/>
        <w:outlineLvl w:val="1"/>
        <w:rPr>
          <w:rFonts w:hint="eastAsia" w:ascii="仿宋_GB2312" w:hAnsi="宋体"/>
          <w:b/>
          <w:szCs w:val="32"/>
          <w:lang w:val="zh-CN"/>
        </w:rPr>
      </w:pPr>
      <w:r>
        <w:rPr>
          <w:rFonts w:hint="eastAsia" w:ascii="仿宋_GB2312" w:hAnsi="宋体"/>
          <w:b/>
          <w:szCs w:val="32"/>
        </w:rPr>
        <w:t>1.</w:t>
      </w:r>
      <w:r>
        <w:rPr>
          <w:rFonts w:hint="eastAsia" w:ascii="仿宋_GB2312" w:hAnsi="宋体"/>
          <w:b/>
          <w:szCs w:val="32"/>
          <w:lang w:val="zh-CN"/>
        </w:rPr>
        <w:t>术语与定义</w:t>
      </w:r>
    </w:p>
    <w:p w14:paraId="48E525DD">
      <w:pPr>
        <w:spacing w:line="360" w:lineRule="auto"/>
        <w:ind w:firstLine="640" w:firstLineChars="200"/>
        <w:jc w:val="left"/>
        <w:rPr>
          <w:rFonts w:hint="eastAsia" w:ascii="黑体" w:hAnsi="黑体" w:cs="黑体"/>
          <w:spacing w:val="-1"/>
        </w:rPr>
      </w:pPr>
      <w:r>
        <w:rPr>
          <w:rFonts w:hint="eastAsia" w:ascii="仿宋_GB2312" w:hAnsi="楷体" w:cs="Times New Roman"/>
          <w:szCs w:val="32"/>
        </w:rPr>
        <w:t>（1）</w:t>
      </w:r>
      <w:r>
        <w:rPr>
          <w:rFonts w:hint="eastAsia" w:ascii="仿宋_GB2312" w:hAnsi="楷体" w:cs="Times New Roman"/>
          <w:szCs w:val="32"/>
          <w:lang w:val="en-US" w:eastAsia="zh-CN"/>
        </w:rPr>
        <w:t>农业科普研学课程</w:t>
      </w:r>
      <w:r>
        <w:rPr>
          <w:rFonts w:hint="eastAsia" w:ascii="仿宋_GB2312" w:hAnsi="楷体" w:cs="Times New Roman"/>
          <w:szCs w:val="32"/>
          <w:lang w:eastAsia="zh-CN"/>
        </w:rPr>
        <w:t>：</w:t>
      </w:r>
      <w:r>
        <w:rPr>
          <w:rFonts w:hint="eastAsia" w:ascii="黑体" w:hAnsi="黑体" w:cs="黑体"/>
          <w:spacing w:val="-1"/>
        </w:rPr>
        <w:t>依托农业场景，以理论知识和体验相结合为主要方式，实现农业科普的实践教育课程。</w:t>
      </w:r>
    </w:p>
    <w:p w14:paraId="6F7701B7">
      <w:pPr>
        <w:autoSpaceDE w:val="0"/>
        <w:autoSpaceDN w:val="0"/>
        <w:adjustRightInd w:val="0"/>
        <w:spacing w:line="560" w:lineRule="exact"/>
        <w:ind w:firstLine="640"/>
        <w:rPr>
          <w:rFonts w:hint="default" w:ascii="仿宋_GB2312" w:hAnsi="Times New Roman" w:cs="Times New Roman"/>
          <w:szCs w:val="28"/>
          <w:lang w:val="en-US" w:eastAsia="zh-CN"/>
        </w:rPr>
      </w:pPr>
      <w:r>
        <w:rPr>
          <w:rFonts w:hint="eastAsia" w:ascii="仿宋_GB2312" w:hAnsi="楷体"/>
          <w:szCs w:val="32"/>
        </w:rPr>
        <w:t>基于标准编制组实践工作经验对“</w:t>
      </w:r>
      <w:r>
        <w:rPr>
          <w:rFonts w:hint="eastAsia" w:ascii="仿宋_GB2312" w:hAnsi="楷体"/>
          <w:szCs w:val="32"/>
          <w:lang w:eastAsia="zh-CN"/>
        </w:rPr>
        <w:t>农业科普研学课程</w:t>
      </w:r>
      <w:r>
        <w:rPr>
          <w:rFonts w:hint="eastAsia" w:ascii="仿宋_GB2312" w:hAnsi="楷体"/>
          <w:szCs w:val="32"/>
        </w:rPr>
        <w:t>”的理解并</w:t>
      </w:r>
      <w:r>
        <w:rPr>
          <w:rFonts w:hint="eastAsia" w:ascii="仿宋_GB2312" w:cs="Times New Roman"/>
          <w:szCs w:val="28"/>
          <w:lang w:val="en-US" w:eastAsia="zh-CN"/>
        </w:rPr>
        <w:t>引用了《T/GXAS 1175</w:t>
      </w:r>
      <w:r>
        <w:rPr>
          <w:rFonts w:hint="eastAsia" w:ascii="宋体" w:hAnsi="宋体" w:cs="宋体"/>
        </w:rPr>
        <w:t>—</w:t>
      </w:r>
      <w:r>
        <w:rPr>
          <w:rFonts w:hint="eastAsia" w:ascii="宋体" w:hAnsi="宋体" w:cs="宋体"/>
          <w:lang w:val="en-US" w:eastAsia="zh-CN"/>
        </w:rPr>
        <w:t>2025</w:t>
      </w:r>
      <w:r>
        <w:rPr>
          <w:rFonts w:hint="eastAsia" w:ascii="仿宋_GB2312" w:cs="Times New Roman"/>
          <w:szCs w:val="28"/>
          <w:lang w:val="en-US" w:eastAsia="zh-CN"/>
        </w:rPr>
        <w:t xml:space="preserve">  农业科普研学课程设计指南》的术语定义。</w:t>
      </w:r>
    </w:p>
    <w:p w14:paraId="2E88A394">
      <w:pPr>
        <w:autoSpaceDE w:val="0"/>
        <w:autoSpaceDN w:val="0"/>
        <w:adjustRightInd w:val="0"/>
        <w:spacing w:line="560" w:lineRule="exact"/>
        <w:ind w:left="0" w:leftChars="0" w:firstLine="0" w:firstLineChars="0"/>
        <w:jc w:val="both"/>
      </w:pPr>
    </w:p>
    <w:p w14:paraId="26E0A5EA">
      <w:pPr>
        <w:pStyle w:val="2"/>
        <w:autoSpaceDE w:val="0"/>
        <w:autoSpaceDN w:val="0"/>
        <w:adjustRightInd w:val="0"/>
        <w:spacing w:line="560" w:lineRule="exact"/>
        <w:ind w:left="0" w:leftChars="0" w:firstLine="0" w:firstLineChars="0"/>
        <w:jc w:val="center"/>
        <w:rPr>
          <w:rFonts w:hint="eastAsia" w:ascii="仿宋_GB2312" w:hAnsi="楷体" w:eastAsia="仿宋_GB2312" w:cs="Times New Roman"/>
          <w:kern w:val="2"/>
          <w:sz w:val="21"/>
          <w:szCs w:val="21"/>
          <w:lang w:val="en-US" w:eastAsia="zh-CN" w:bidi="ar-SA"/>
        </w:rPr>
      </w:pPr>
      <w:r>
        <w:drawing>
          <wp:anchor distT="0" distB="0" distL="114300" distR="114300" simplePos="0" relativeHeight="251662336" behindDoc="0" locked="0" layoutInCell="1" allowOverlap="1">
            <wp:simplePos x="0" y="0"/>
            <wp:positionH relativeFrom="column">
              <wp:posOffset>15240</wp:posOffset>
            </wp:positionH>
            <wp:positionV relativeFrom="paragraph">
              <wp:posOffset>-744220</wp:posOffset>
            </wp:positionV>
            <wp:extent cx="5657850" cy="1028700"/>
            <wp:effectExtent l="0" t="0" r="0" b="0"/>
            <wp:wrapTopAndBottom/>
            <wp:docPr id="2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9"/>
                    <pic:cNvPicPr>
                      <a:picLocks noChangeAspect="1"/>
                    </pic:cNvPicPr>
                  </pic:nvPicPr>
                  <pic:blipFill>
                    <a:blip r:embed="rId16"/>
                    <a:stretch>
                      <a:fillRect/>
                    </a:stretch>
                  </pic:blipFill>
                  <pic:spPr>
                    <a:xfrm>
                      <a:off x="0" y="0"/>
                      <a:ext cx="5657850" cy="1028700"/>
                    </a:xfrm>
                    <a:prstGeom prst="rect">
                      <a:avLst/>
                    </a:prstGeom>
                    <a:noFill/>
                    <a:ln>
                      <a:noFill/>
                    </a:ln>
                  </pic:spPr>
                </pic:pic>
              </a:graphicData>
            </a:graphic>
          </wp:anchor>
        </w:drawing>
      </w:r>
      <w:r>
        <w:rPr>
          <w:rFonts w:hint="eastAsia" w:ascii="仿宋_GB2312" w:hAnsi="楷体" w:eastAsia="仿宋_GB2312" w:cs="Times New Roman"/>
          <w:kern w:val="2"/>
          <w:sz w:val="21"/>
          <w:szCs w:val="21"/>
          <w:lang w:val="en-US" w:eastAsia="zh-CN" w:bidi="ar-SA"/>
        </w:rPr>
        <w:t xml:space="preserve">图 </w:t>
      </w:r>
      <w:r>
        <w:rPr>
          <w:rFonts w:hint="eastAsia" w:ascii="仿宋_GB2312" w:hAnsi="楷体" w:eastAsia="仿宋_GB2312" w:cs="Times New Roman"/>
          <w:kern w:val="2"/>
          <w:sz w:val="21"/>
          <w:szCs w:val="21"/>
          <w:lang w:val="en-US" w:eastAsia="zh-CN" w:bidi="ar-SA"/>
        </w:rPr>
        <w:fldChar w:fldCharType="begin"/>
      </w:r>
      <w:r>
        <w:rPr>
          <w:rFonts w:hint="eastAsia" w:ascii="仿宋_GB2312" w:hAnsi="楷体" w:eastAsia="仿宋_GB2312" w:cs="Times New Roman"/>
          <w:kern w:val="2"/>
          <w:sz w:val="21"/>
          <w:szCs w:val="21"/>
          <w:lang w:val="en-US" w:eastAsia="zh-CN" w:bidi="ar-SA"/>
        </w:rPr>
        <w:instrText xml:space="preserve"> SEQ 图 \* ARABIC </w:instrText>
      </w:r>
      <w:r>
        <w:rPr>
          <w:rFonts w:hint="eastAsia" w:ascii="仿宋_GB2312" w:hAnsi="楷体" w:eastAsia="仿宋_GB2312" w:cs="Times New Roman"/>
          <w:kern w:val="2"/>
          <w:sz w:val="21"/>
          <w:szCs w:val="21"/>
          <w:lang w:val="en-US" w:eastAsia="zh-CN" w:bidi="ar-SA"/>
        </w:rPr>
        <w:fldChar w:fldCharType="separate"/>
      </w:r>
      <w:r>
        <w:rPr>
          <w:rFonts w:hint="eastAsia" w:ascii="仿宋_GB2312" w:hAnsi="楷体" w:eastAsia="仿宋_GB2312" w:cs="Times New Roman"/>
          <w:kern w:val="2"/>
          <w:sz w:val="21"/>
          <w:szCs w:val="21"/>
          <w:lang w:val="en-US" w:eastAsia="zh-CN" w:bidi="ar-SA"/>
        </w:rPr>
        <w:t>8</w:t>
      </w:r>
      <w:r>
        <w:rPr>
          <w:rFonts w:hint="eastAsia" w:ascii="仿宋_GB2312" w:hAnsi="楷体" w:eastAsia="仿宋_GB2312" w:cs="Times New Roman"/>
          <w:kern w:val="2"/>
          <w:sz w:val="21"/>
          <w:szCs w:val="21"/>
          <w:lang w:val="en-US" w:eastAsia="zh-CN" w:bidi="ar-SA"/>
        </w:rPr>
        <w:fldChar w:fldCharType="end"/>
      </w:r>
      <w:r>
        <w:rPr>
          <w:rFonts w:hint="eastAsia" w:ascii="仿宋_GB2312" w:hAnsi="楷体" w:eastAsia="仿宋_GB2312" w:cs="Times New Roman"/>
          <w:kern w:val="2"/>
          <w:sz w:val="21"/>
          <w:szCs w:val="21"/>
          <w:lang w:val="en-US" w:eastAsia="zh-CN" w:bidi="ar-SA"/>
        </w:rPr>
        <w:t xml:space="preserve"> 《T/GXAS 1175—2025  农业科普研学课程设计指南》的术语定义</w:t>
      </w:r>
    </w:p>
    <w:p w14:paraId="5631A447">
      <w:pPr>
        <w:numPr>
          <w:ilvl w:val="-1"/>
          <w:numId w:val="0"/>
        </w:numPr>
        <w:spacing w:line="560" w:lineRule="exact"/>
        <w:ind w:firstLine="640"/>
        <w:rPr>
          <w:rFonts w:hint="default"/>
          <w:color w:val="000000" w:themeColor="text1"/>
          <w:lang w:val="en-US" w:eastAsia="zh-CN"/>
          <w14:textFill>
            <w14:solidFill>
              <w14:schemeClr w14:val="tx1"/>
            </w14:solidFill>
          </w14:textFill>
        </w:rPr>
      </w:pPr>
      <w:bookmarkStart w:id="2" w:name="_Toc526940086"/>
      <w:r>
        <w:rPr>
          <w:rFonts w:hint="eastAsia"/>
          <w:color w:val="000000" w:themeColor="text1"/>
          <w:lang w:val="en-US" w:eastAsia="zh-CN"/>
          <w14:textFill>
            <w14:solidFill>
              <w14:schemeClr w14:val="tx1"/>
            </w14:solidFill>
          </w14:textFill>
        </w:rPr>
        <w:t>2.评价原则</w:t>
      </w:r>
    </w:p>
    <w:p w14:paraId="3346114A">
      <w:pPr>
        <w:spacing w:line="560" w:lineRule="exact"/>
        <w:ind w:firstLine="640"/>
        <w:rPr>
          <w:rFonts w:hint="eastAsia" w:ascii="仿宋_GB2312" w:hAnsi="楷体"/>
          <w:szCs w:val="32"/>
          <w:lang w:val="en-US" w:eastAsia="zh-CN"/>
        </w:rPr>
      </w:pPr>
      <w:r>
        <w:rPr>
          <w:rFonts w:hint="eastAsia" w:ascii="仿宋_GB2312" w:hAnsi="楷体"/>
          <w:szCs w:val="32"/>
          <w:lang w:val="en-US" w:eastAsia="zh-CN"/>
        </w:rPr>
        <w:t>（1）客观性：评价客观、公平、公正，鼓励多方参与，评价结果不受主、客观因素影响。。</w:t>
      </w:r>
    </w:p>
    <w:p w14:paraId="2DBDAA76">
      <w:pPr>
        <w:spacing w:line="560" w:lineRule="exact"/>
        <w:ind w:firstLine="640"/>
        <w:rPr>
          <w:rFonts w:hint="default" w:ascii="仿宋_GB2312" w:hAnsi="楷体"/>
          <w:szCs w:val="32"/>
          <w:lang w:val="en-US" w:eastAsia="zh-CN"/>
        </w:rPr>
      </w:pPr>
      <w:r>
        <w:rPr>
          <w:rFonts w:hint="eastAsia" w:ascii="仿宋_GB2312" w:hAnsi="楷体"/>
          <w:szCs w:val="32"/>
          <w:lang w:val="en-US" w:eastAsia="zh-CN"/>
        </w:rPr>
        <w:t>主要依据《</w:t>
      </w:r>
      <w:r>
        <w:rPr>
          <w:rFonts w:hint="eastAsia"/>
          <w:lang w:val="en-US" w:eastAsia="zh-CN"/>
        </w:rPr>
        <w:t>DB4105/T240-2024研学旅行综合评价指南</w:t>
      </w:r>
      <w:r>
        <w:rPr>
          <w:rFonts w:hint="eastAsia" w:ascii="仿宋_GB2312" w:hAnsi="楷体"/>
          <w:szCs w:val="32"/>
          <w:lang w:val="en-US" w:eastAsia="zh-CN"/>
        </w:rPr>
        <w:t>》的评价原则的“客观性原则”，本标准借鉴了这一通用准则，并结合农业科普研学特点，旨在通过评价主体和视角的多元化，最大程度抵消单一视角的偏差，确保评价结论基于事实和数据，真实反映课程质量。</w:t>
      </w:r>
    </w:p>
    <w:p w14:paraId="5B177E41">
      <w:pPr>
        <w:spacing w:line="560" w:lineRule="exact"/>
        <w:ind w:left="0" w:leftChars="0" w:firstLine="0" w:firstLineChars="0"/>
        <w:jc w:val="center"/>
        <w:rPr>
          <w:rFonts w:hint="default" w:ascii="仿宋_GB2312" w:hAnsi="楷体"/>
          <w:szCs w:val="32"/>
          <w:lang w:val="en-US" w:eastAsia="zh-CN"/>
        </w:rPr>
      </w:pPr>
      <w:r>
        <w:drawing>
          <wp:anchor distT="0" distB="0" distL="114300" distR="114300" simplePos="0" relativeHeight="251661312" behindDoc="0" locked="0" layoutInCell="1" allowOverlap="1">
            <wp:simplePos x="0" y="0"/>
            <wp:positionH relativeFrom="column">
              <wp:posOffset>294005</wp:posOffset>
            </wp:positionH>
            <wp:positionV relativeFrom="paragraph">
              <wp:posOffset>24765</wp:posOffset>
            </wp:positionV>
            <wp:extent cx="5300980" cy="862330"/>
            <wp:effectExtent l="0" t="0" r="4445" b="4445"/>
            <wp:wrapTopAndBottom/>
            <wp:docPr id="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2"/>
                    <pic:cNvPicPr>
                      <a:picLocks noChangeAspect="1"/>
                    </pic:cNvPicPr>
                  </pic:nvPicPr>
                  <pic:blipFill>
                    <a:blip r:embed="rId17"/>
                    <a:stretch>
                      <a:fillRect/>
                    </a:stretch>
                  </pic:blipFill>
                  <pic:spPr>
                    <a:xfrm>
                      <a:off x="0" y="0"/>
                      <a:ext cx="5300980" cy="862330"/>
                    </a:xfrm>
                    <a:prstGeom prst="rect">
                      <a:avLst/>
                    </a:prstGeom>
                    <a:noFill/>
                    <a:ln>
                      <a:noFill/>
                    </a:ln>
                  </pic:spPr>
                </pic:pic>
              </a:graphicData>
            </a:graphic>
          </wp:anchor>
        </w:drawing>
      </w:r>
      <w:r>
        <w:rPr>
          <w:rFonts w:hint="eastAsia" w:ascii="仿宋_GB2312" w:hAnsi="楷体" w:cs="Times New Roman"/>
          <w:sz w:val="21"/>
          <w:szCs w:val="21"/>
          <w:lang w:val="en-US" w:eastAsia="zh-CN"/>
        </w:rPr>
        <w:t>图9 《DB4105/T240-2024研学旅行综合评价指南》评价原则</w:t>
      </w:r>
    </w:p>
    <w:p w14:paraId="49813706">
      <w:pPr>
        <w:spacing w:line="560" w:lineRule="exact"/>
        <w:ind w:firstLine="640"/>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（2）科学性：评价指标与方法科学严谨，符合教育教学与科学普及的基本规律。</w:t>
      </w:r>
    </w:p>
    <w:p w14:paraId="7AFE415E">
      <w:pPr>
        <w:spacing w:line="560" w:lineRule="exact"/>
        <w:ind w:firstLine="640"/>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主要依据教育部《义务教育课程方案和课程标准（2022年版）》强调课程实施与评价要“遵循教育规律和学生身心发展规律”，这为评价方法必须科学、符合教学规律提供了核心依据。同时，《中华人民共和国科学技术普及法》要求科普工作“采取公众易于理解、接受、参与的方式”，这启示评价方法的设计需贴合科普传播的特点与受众认知规律。农业科普研学课程涉及农业科学知识的准确传递、实践技能的有效培养以及科学精神的潜移默化，其评价指标体系必须建立在严谨的课程论、教学论和科学传播理论基础上，强调“科学性”是保障评价能准确诊断课程问题、有效引导课程优化的根本前提。</w:t>
      </w:r>
    </w:p>
    <w:p w14:paraId="38F8F0FA">
      <w:pPr>
        <w:spacing w:line="560" w:lineRule="exact"/>
        <w:ind w:firstLine="640"/>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（3）发展性：以优化研学产品、规范研学活动、改进研学服务、加强研学管理、提高研学课程教学效果为目的，指导农业科普研学课程有序开展。</w:t>
      </w:r>
    </w:p>
    <w:p w14:paraId="2F924846">
      <w:pPr>
        <w:spacing w:line="560" w:lineRule="exact"/>
        <w:ind w:firstLine="640"/>
        <w:rPr>
          <w:rFonts w:hint="default"/>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主要依据《DB43/T1861-2020成人高等教育课程教学质量评价规范》的总则以及《</w:t>
      </w:r>
      <w:r>
        <w:rPr>
          <w:rFonts w:hint="default"/>
          <w:lang w:val="en-US" w:eastAsia="zh-CN"/>
        </w:rPr>
        <w:t>DB36/T 1413.4—2021 中小学研学旅行 第4部分：评价规范</w:t>
      </w:r>
      <w:r>
        <w:rPr>
          <w:rFonts w:hint="eastAsia"/>
          <w:color w:val="000000" w:themeColor="text1"/>
          <w:lang w:val="en-US" w:eastAsia="zh-CN"/>
          <w14:textFill>
            <w14:solidFill>
              <w14:schemeClr w14:val="tx1"/>
            </w14:solidFill>
          </w14:textFill>
        </w:rPr>
        <w:t>》的评价原则，</w:t>
      </w:r>
      <w:r>
        <w:rPr>
          <w:rFonts w:hint="eastAsia" w:ascii="仿宋_GB2312" w:hAnsi="楷体"/>
          <w:szCs w:val="32"/>
          <w:lang w:val="en-US" w:eastAsia="zh-CN"/>
        </w:rPr>
        <w:t>本标准借鉴了这一通用准则，并结合农业科普研学特点，并将发展性的目标具体化为对“研学产品、研学活动、研学服务、研学管理、教学效果”五个关键维度的系统优化，使发展性原则更具操作性和指导性。</w:t>
      </w:r>
    </w:p>
    <w:p w14:paraId="76C1B80F">
      <w:pPr>
        <w:spacing w:line="560" w:lineRule="exact"/>
        <w:ind w:left="0" w:leftChars="0" w:firstLine="0" w:firstLineChars="0"/>
        <w:jc w:val="center"/>
        <w:rPr>
          <w:rFonts w:hint="eastAsia" w:ascii="仿宋_GB2312" w:hAnsi="楷体" w:cs="Times New Roman"/>
          <w:sz w:val="21"/>
          <w:szCs w:val="21"/>
          <w:lang w:val="en-US" w:eastAsia="zh-CN"/>
        </w:rPr>
      </w:pPr>
      <w:r>
        <w:rPr>
          <w:rFonts w:hint="eastAsia" w:ascii="仿宋_GB2312" w:hAnsi="楷体" w:cs="Times New Roman"/>
          <w:sz w:val="21"/>
          <w:szCs w:val="21"/>
          <w:lang w:val="en-US" w:eastAsia="zh-CN"/>
        </w:rPr>
        <w:drawing>
          <wp:anchor distT="0" distB="0" distL="114300" distR="114300" simplePos="0" relativeHeight="251660288" behindDoc="0" locked="0" layoutInCell="1" allowOverlap="1">
            <wp:simplePos x="0" y="0"/>
            <wp:positionH relativeFrom="column">
              <wp:posOffset>135255</wp:posOffset>
            </wp:positionH>
            <wp:positionV relativeFrom="paragraph">
              <wp:posOffset>93980</wp:posOffset>
            </wp:positionV>
            <wp:extent cx="5685790" cy="1504950"/>
            <wp:effectExtent l="0" t="0" r="635" b="0"/>
            <wp:wrapTopAndBottom/>
            <wp:docPr id="1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4"/>
                    <pic:cNvPicPr>
                      <a:picLocks noChangeAspect="1"/>
                    </pic:cNvPicPr>
                  </pic:nvPicPr>
                  <pic:blipFill>
                    <a:blip r:embed="rId18"/>
                    <a:srcRect b="9749"/>
                    <a:stretch>
                      <a:fillRect/>
                    </a:stretch>
                  </pic:blipFill>
                  <pic:spPr>
                    <a:xfrm>
                      <a:off x="0" y="0"/>
                      <a:ext cx="5685790" cy="1504950"/>
                    </a:xfrm>
                    <a:prstGeom prst="rect">
                      <a:avLst/>
                    </a:prstGeom>
                    <a:noFill/>
                    <a:ln>
                      <a:noFill/>
                    </a:ln>
                  </pic:spPr>
                </pic:pic>
              </a:graphicData>
            </a:graphic>
          </wp:anchor>
        </w:drawing>
      </w:r>
      <w:r>
        <w:rPr>
          <w:rFonts w:hint="eastAsia" w:ascii="仿宋_GB2312" w:hAnsi="楷体" w:cs="Times New Roman"/>
          <w:sz w:val="21"/>
          <w:szCs w:val="21"/>
          <w:lang w:val="en-US" w:eastAsia="zh-CN"/>
        </w:rPr>
        <w:t>图10 《DB43/T1861-2020成人高等教育课程教学质量评价规范》</w:t>
      </w:r>
    </w:p>
    <w:p w14:paraId="2560742F">
      <w:pPr>
        <w:spacing w:line="560" w:lineRule="exact"/>
        <w:ind w:firstLine="0" w:firstLineChars="0"/>
        <w:jc w:val="center"/>
        <w:rPr>
          <w:rFonts w:hint="eastAsia"/>
          <w:color w:val="000000" w:themeColor="text1"/>
          <w:lang w:eastAsia="zh-CN"/>
          <w14:textFill>
            <w14:solidFill>
              <w14:schemeClr w14:val="tx1"/>
            </w14:solidFill>
          </w14:textFill>
        </w:rPr>
      </w:pPr>
      <w:r>
        <w:drawing>
          <wp:anchor distT="0" distB="0" distL="114300" distR="114300" simplePos="0" relativeHeight="251663360" behindDoc="0" locked="0" layoutInCell="1" allowOverlap="1">
            <wp:simplePos x="0" y="0"/>
            <wp:positionH relativeFrom="column">
              <wp:posOffset>224155</wp:posOffset>
            </wp:positionH>
            <wp:positionV relativeFrom="paragraph">
              <wp:posOffset>46990</wp:posOffset>
            </wp:positionV>
            <wp:extent cx="5683885" cy="926465"/>
            <wp:effectExtent l="0" t="0" r="2540" b="6985"/>
            <wp:wrapTopAndBottom/>
            <wp:docPr id="2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0"/>
                    <pic:cNvPicPr>
                      <a:picLocks noChangeAspect="1"/>
                    </pic:cNvPicPr>
                  </pic:nvPicPr>
                  <pic:blipFill>
                    <a:blip r:embed="rId19"/>
                    <a:stretch>
                      <a:fillRect/>
                    </a:stretch>
                  </pic:blipFill>
                  <pic:spPr>
                    <a:xfrm>
                      <a:off x="0" y="0"/>
                      <a:ext cx="5683885" cy="926465"/>
                    </a:xfrm>
                    <a:prstGeom prst="rect">
                      <a:avLst/>
                    </a:prstGeom>
                    <a:noFill/>
                    <a:ln>
                      <a:noFill/>
                    </a:ln>
                  </pic:spPr>
                </pic:pic>
              </a:graphicData>
            </a:graphic>
          </wp:anchor>
        </w:drawing>
      </w:r>
      <w:r>
        <w:rPr>
          <w:rFonts w:hint="eastAsia" w:ascii="仿宋_GB2312" w:hAnsi="楷体" w:cs="Times New Roman"/>
          <w:sz w:val="21"/>
          <w:szCs w:val="21"/>
          <w:lang w:val="en-US" w:eastAsia="zh-CN"/>
        </w:rPr>
        <w:t>图11 《</w:t>
      </w:r>
      <w:r>
        <w:rPr>
          <w:rFonts w:hint="default" w:ascii="仿宋_GB2312" w:hAnsi="楷体" w:cs="Times New Roman"/>
          <w:sz w:val="21"/>
          <w:szCs w:val="21"/>
          <w:lang w:val="en-US" w:eastAsia="zh-CN"/>
        </w:rPr>
        <w:t>DB36/T 1413.4—2021 中小学研学旅行 第4部分：评价规范</w:t>
      </w:r>
      <w:r>
        <w:rPr>
          <w:rFonts w:hint="eastAsia" w:ascii="仿宋_GB2312" w:hAnsi="楷体" w:cs="Times New Roman"/>
          <w:sz w:val="21"/>
          <w:szCs w:val="21"/>
          <w:lang w:val="en-US" w:eastAsia="zh-CN"/>
        </w:rPr>
        <w:t>》</w:t>
      </w:r>
    </w:p>
    <w:p w14:paraId="7CCD9D55">
      <w:pPr>
        <w:spacing w:line="560" w:lineRule="exact"/>
        <w:ind w:firstLine="640"/>
        <w:rPr>
          <w:rFonts w:hint="default" w:ascii="仿宋_GB2312" w:hAnsi="宋体"/>
          <w:szCs w:val="28"/>
          <w:lang w:val="en-US" w:eastAsia="zh-CN"/>
        </w:rPr>
      </w:pPr>
      <w:r>
        <w:rPr>
          <w:rFonts w:hint="eastAsia" w:ascii="仿宋_GB2312" w:hAnsi="宋体"/>
          <w:szCs w:val="28"/>
          <w:lang w:val="en-US" w:eastAsia="zh-CN"/>
        </w:rPr>
        <w:t>3.评价内容</w:t>
      </w:r>
    </w:p>
    <w:p w14:paraId="714E2B89">
      <w:pPr>
        <w:spacing w:line="560" w:lineRule="exact"/>
        <w:ind w:firstLine="640"/>
        <w:rPr>
          <w:rFonts w:hint="eastAsia" w:ascii="仿宋_GB2312" w:hAnsi="宋体"/>
          <w:color w:val="auto"/>
          <w:szCs w:val="28"/>
          <w:lang w:eastAsia="zh-CN"/>
        </w:rPr>
      </w:pPr>
      <w:r>
        <w:rPr>
          <w:rFonts w:hint="eastAsia" w:ascii="仿宋_GB2312" w:hAnsi="宋体"/>
          <w:szCs w:val="28"/>
          <w:lang w:eastAsia="zh-CN"/>
        </w:rPr>
        <w:t>（</w:t>
      </w:r>
      <w:r>
        <w:rPr>
          <w:rFonts w:hint="eastAsia" w:ascii="仿宋_GB2312" w:hAnsi="宋体"/>
          <w:szCs w:val="28"/>
          <w:lang w:val="en-US" w:eastAsia="zh-CN"/>
        </w:rPr>
        <w:t>1</w:t>
      </w:r>
      <w:r>
        <w:rPr>
          <w:rFonts w:hint="eastAsia" w:ascii="仿宋_GB2312" w:hAnsi="宋体"/>
          <w:szCs w:val="28"/>
          <w:lang w:eastAsia="zh-CN"/>
        </w:rPr>
        <w:t>）</w:t>
      </w:r>
      <w:r>
        <w:rPr>
          <w:rFonts w:hint="eastAsia" w:ascii="仿宋_GB2312" w:hAnsi="宋体"/>
          <w:szCs w:val="28"/>
          <w:lang w:val="en-US" w:eastAsia="zh-CN"/>
        </w:rPr>
        <w:t>通则：</w:t>
      </w:r>
      <w:r>
        <w:rPr>
          <w:rFonts w:hint="eastAsia" w:ascii="仿宋_GB2312" w:hAnsi="宋体"/>
          <w:szCs w:val="28"/>
          <w:lang w:eastAsia="zh-CN"/>
        </w:rPr>
        <w:t>围绕“课程设计、课程实施、课程效果”三大维度，设置一级指标3项、二级指标1</w:t>
      </w:r>
      <w:r>
        <w:rPr>
          <w:rFonts w:hint="eastAsia" w:ascii="仿宋_GB2312" w:hAnsi="宋体"/>
          <w:szCs w:val="28"/>
          <w:lang w:val="en-US" w:eastAsia="zh-CN"/>
        </w:rPr>
        <w:t>3</w:t>
      </w:r>
      <w:r>
        <w:rPr>
          <w:rFonts w:hint="eastAsia" w:ascii="仿宋_GB2312" w:hAnsi="宋体"/>
          <w:szCs w:val="28"/>
          <w:lang w:eastAsia="zh-CN"/>
        </w:rPr>
        <w:t>项，系统覆盖课程全流程。指标设计兼顾课程的前期设计、中期实施与后期效果，形成全过程闭环评价。</w:t>
      </w:r>
      <w:r>
        <w:rPr>
          <w:rFonts w:hint="eastAsia" w:ascii="仿宋_GB2312" w:hAnsi="宋体"/>
          <w:szCs w:val="28"/>
          <w:lang w:val="en-US" w:eastAsia="zh-CN"/>
        </w:rPr>
        <w:t>主要参考《DB43/T1861-2020成人高等教育课程教学质量评价规范》的指标体系构成，并</w:t>
      </w:r>
      <w:r>
        <w:rPr>
          <w:rFonts w:hint="eastAsia" w:ascii="仿宋_GB2312" w:hAnsi="楷体"/>
          <w:szCs w:val="32"/>
          <w:lang w:val="en-US" w:eastAsia="zh-CN"/>
        </w:rPr>
        <w:t>结合农业科普研学评价特点进行设</w:t>
      </w:r>
      <w:r>
        <w:rPr>
          <w:rFonts w:hint="eastAsia" w:ascii="仿宋_GB2312" w:hAnsi="楷体"/>
          <w:color w:val="auto"/>
          <w:szCs w:val="32"/>
          <w:lang w:val="en-US" w:eastAsia="zh-CN"/>
        </w:rPr>
        <w:t>计。</w:t>
      </w:r>
      <w:r>
        <w:rPr>
          <w:rFonts w:hint="eastAsia" w:ascii="仿宋_GB2312" w:hAnsi="宋体"/>
          <w:color w:val="auto"/>
          <w:szCs w:val="28"/>
          <w:lang w:eastAsia="zh-CN"/>
        </w:rPr>
        <w:t>上述指标</w:t>
      </w:r>
      <w:r>
        <w:rPr>
          <w:rFonts w:hint="eastAsia" w:ascii="仿宋_GB2312" w:hAnsi="宋体"/>
          <w:color w:val="auto"/>
          <w:szCs w:val="28"/>
          <w:lang w:val="en-US" w:eastAsia="zh-CN"/>
        </w:rPr>
        <w:t>主要</w:t>
      </w:r>
      <w:r>
        <w:rPr>
          <w:rFonts w:hint="eastAsia" w:ascii="仿宋_GB2312" w:hAnsi="宋体"/>
          <w:color w:val="auto"/>
          <w:szCs w:val="28"/>
          <w:lang w:eastAsia="zh-CN"/>
        </w:rPr>
        <w:t>源于起草单位长期课程评价实践的凝练。例如，在评价《植物中有趣的数学——测量树木》课程时，发现“课程内容”中数学知识与植物学知识的融合度是影响课程深度的关键，因此标准中特别强调“内容应体现农业特色与多学科融合”。“安全保障”指标中对“农事操作安全”的特殊要求，则源于对《农事体验-与美好相“玉”》课程评价中发现的风险点总结，要求课程必须配备防护用具并进行规范操作演示。“学习感受”指标中关注“激发对农业科学的兴趣”，其测量方法（如通过访谈询问“是否想了解更多农业知识”）已在多次课程评价中被验证有效。</w:t>
      </w:r>
    </w:p>
    <w:p w14:paraId="27E6E57B">
      <w:pPr>
        <w:spacing w:line="560" w:lineRule="exact"/>
        <w:ind w:firstLine="640"/>
        <w:rPr>
          <w:rFonts w:hint="eastAsia" w:ascii="仿宋_GB2312" w:hAnsi="宋体"/>
          <w:szCs w:val="28"/>
          <w:lang w:eastAsia="zh-CN"/>
        </w:rPr>
      </w:pPr>
      <w:r>
        <w:rPr>
          <w:rFonts w:hint="eastAsia" w:ascii="仿宋_GB2312" w:hAnsi="宋体"/>
          <w:color w:val="auto"/>
          <w:szCs w:val="28"/>
          <w:lang w:eastAsia="zh-CN"/>
        </w:rPr>
        <w:t>（</w:t>
      </w:r>
      <w:r>
        <w:rPr>
          <w:rFonts w:hint="eastAsia" w:ascii="仿宋_GB2312" w:hAnsi="宋体"/>
          <w:color w:val="auto"/>
          <w:szCs w:val="28"/>
          <w:lang w:val="en-US" w:eastAsia="zh-CN"/>
        </w:rPr>
        <w:t>2</w:t>
      </w:r>
      <w:r>
        <w:rPr>
          <w:rFonts w:hint="eastAsia" w:ascii="仿宋_GB2312" w:hAnsi="宋体"/>
          <w:color w:val="auto"/>
          <w:szCs w:val="28"/>
          <w:lang w:eastAsia="zh-CN"/>
        </w:rPr>
        <w:t>）“课程设计”侧重于对课程方案、目标、内容</w:t>
      </w:r>
      <w:r>
        <w:rPr>
          <w:rFonts w:hint="eastAsia" w:ascii="仿宋_GB2312" w:hAnsi="宋体"/>
          <w:color w:val="auto"/>
          <w:szCs w:val="28"/>
          <w:lang w:val="en-US" w:eastAsia="zh-CN"/>
        </w:rPr>
        <w:t>等</w:t>
      </w:r>
      <w:r>
        <w:rPr>
          <w:rFonts w:hint="eastAsia" w:ascii="仿宋_GB2312" w:hAnsi="宋体"/>
          <w:color w:val="auto"/>
          <w:szCs w:val="28"/>
          <w:lang w:eastAsia="zh-CN"/>
        </w:rPr>
        <w:t>的预设</w:t>
      </w:r>
      <w:r>
        <w:rPr>
          <w:rFonts w:hint="eastAsia" w:ascii="仿宋_GB2312" w:hAnsi="宋体"/>
          <w:szCs w:val="28"/>
          <w:lang w:eastAsia="zh-CN"/>
        </w:rPr>
        <w:t>性评价，对应“事前”设计与规划的科学性。“课程</w:t>
      </w:r>
      <w:r>
        <w:rPr>
          <w:rFonts w:hint="eastAsia" w:ascii="仿宋_GB2312" w:hAnsi="宋体"/>
          <w:szCs w:val="28"/>
          <w:lang w:val="en-US" w:eastAsia="zh-CN"/>
        </w:rPr>
        <w:t>实施</w:t>
      </w:r>
      <w:r>
        <w:rPr>
          <w:rFonts w:hint="eastAsia" w:ascii="仿宋_GB2312" w:hAnsi="宋体"/>
          <w:szCs w:val="28"/>
          <w:lang w:eastAsia="zh-CN"/>
        </w:rPr>
        <w:t>”聚焦于</w:t>
      </w:r>
      <w:r>
        <w:rPr>
          <w:rFonts w:hint="eastAsia" w:ascii="仿宋_GB2312" w:hAnsi="宋体"/>
          <w:szCs w:val="28"/>
          <w:lang w:val="en-US" w:eastAsia="zh-CN"/>
        </w:rPr>
        <w:t>教学过程</w:t>
      </w:r>
      <w:r>
        <w:rPr>
          <w:rFonts w:hint="eastAsia" w:ascii="仿宋_GB2312" w:hAnsi="宋体"/>
          <w:szCs w:val="28"/>
          <w:lang w:eastAsia="zh-CN"/>
        </w:rPr>
        <w:t>、</w:t>
      </w:r>
      <w:r>
        <w:rPr>
          <w:rFonts w:hint="eastAsia" w:ascii="仿宋_GB2312" w:hAnsi="宋体"/>
          <w:szCs w:val="28"/>
          <w:lang w:val="en-US" w:eastAsia="zh-CN"/>
        </w:rPr>
        <w:t>实践指导</w:t>
      </w:r>
      <w:r>
        <w:rPr>
          <w:rFonts w:hint="eastAsia" w:ascii="仿宋_GB2312" w:hAnsi="宋体"/>
          <w:szCs w:val="28"/>
          <w:lang w:eastAsia="zh-CN"/>
        </w:rPr>
        <w:t>、</w:t>
      </w:r>
      <w:r>
        <w:rPr>
          <w:rFonts w:hint="eastAsia" w:ascii="仿宋_GB2312" w:hAnsi="宋体"/>
          <w:szCs w:val="28"/>
          <w:lang w:val="en-US" w:eastAsia="zh-CN"/>
        </w:rPr>
        <w:t>工作人员配置</w:t>
      </w:r>
      <w:r>
        <w:rPr>
          <w:rFonts w:hint="eastAsia" w:ascii="仿宋_GB2312" w:hAnsi="宋体"/>
          <w:szCs w:val="28"/>
          <w:lang w:eastAsia="zh-CN"/>
        </w:rPr>
        <w:t>等实施条件与过程的评价，对应“事中”的条件保障与过程管理。“</w:t>
      </w:r>
      <w:r>
        <w:rPr>
          <w:rFonts w:hint="eastAsia" w:ascii="仿宋_GB2312" w:hAnsi="宋体"/>
          <w:szCs w:val="28"/>
          <w:lang w:val="en-US" w:eastAsia="zh-CN"/>
        </w:rPr>
        <w:t>课程</w:t>
      </w:r>
      <w:r>
        <w:rPr>
          <w:rFonts w:hint="eastAsia" w:ascii="仿宋_GB2312" w:hAnsi="宋体"/>
          <w:szCs w:val="28"/>
          <w:lang w:eastAsia="zh-CN"/>
        </w:rPr>
        <w:t>效果”关注课程目标达成度与</w:t>
      </w:r>
      <w:r>
        <w:rPr>
          <w:rFonts w:hint="eastAsia" w:ascii="仿宋_GB2312" w:hAnsi="宋体"/>
          <w:szCs w:val="28"/>
          <w:lang w:val="en-US" w:eastAsia="zh-CN"/>
        </w:rPr>
        <w:t>学员</w:t>
      </w:r>
      <w:r>
        <w:rPr>
          <w:rFonts w:hint="eastAsia" w:ascii="仿宋_GB2312" w:hAnsi="宋体"/>
          <w:szCs w:val="28"/>
          <w:lang w:eastAsia="zh-CN"/>
        </w:rPr>
        <w:t>实际获得，对应“事后”的结果与成效。</w:t>
      </w:r>
    </w:p>
    <w:p w14:paraId="01482E77">
      <w:pPr>
        <w:spacing w:line="560" w:lineRule="exact"/>
        <w:ind w:firstLine="0" w:firstLineChars="0"/>
        <w:jc w:val="center"/>
        <w:rPr>
          <w:rFonts w:hint="eastAsia" w:ascii="仿宋_GB2312" w:hAnsi="楷体" w:cs="Times New Roman"/>
          <w:sz w:val="21"/>
          <w:szCs w:val="21"/>
          <w:lang w:val="en-US" w:eastAsia="zh-CN"/>
        </w:rPr>
      </w:pPr>
      <w:r>
        <w:drawing>
          <wp:anchor distT="0" distB="0" distL="114300" distR="114300" simplePos="0" relativeHeight="251664384" behindDoc="0" locked="0" layoutInCell="1" allowOverlap="1">
            <wp:simplePos x="0" y="0"/>
            <wp:positionH relativeFrom="column">
              <wp:posOffset>95885</wp:posOffset>
            </wp:positionH>
            <wp:positionV relativeFrom="paragraph">
              <wp:posOffset>170180</wp:posOffset>
            </wp:positionV>
            <wp:extent cx="5685790" cy="955040"/>
            <wp:effectExtent l="0" t="0" r="635" b="6985"/>
            <wp:wrapTopAndBottom/>
            <wp:docPr id="2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1"/>
                    <pic:cNvPicPr>
                      <a:picLocks noChangeAspect="1"/>
                    </pic:cNvPicPr>
                  </pic:nvPicPr>
                  <pic:blipFill>
                    <a:blip r:embed="rId20"/>
                    <a:stretch>
                      <a:fillRect/>
                    </a:stretch>
                  </pic:blipFill>
                  <pic:spPr>
                    <a:xfrm>
                      <a:off x="0" y="0"/>
                      <a:ext cx="5685790" cy="955040"/>
                    </a:xfrm>
                    <a:prstGeom prst="rect">
                      <a:avLst/>
                    </a:prstGeom>
                    <a:noFill/>
                    <a:ln>
                      <a:noFill/>
                    </a:ln>
                  </pic:spPr>
                </pic:pic>
              </a:graphicData>
            </a:graphic>
          </wp:anchor>
        </w:drawing>
      </w:r>
      <w:r>
        <w:rPr>
          <w:rFonts w:hint="eastAsia" w:ascii="仿宋_GB2312" w:hAnsi="楷体" w:cs="Times New Roman"/>
          <w:sz w:val="21"/>
          <w:szCs w:val="21"/>
          <w:lang w:val="en-US" w:eastAsia="zh-CN"/>
        </w:rPr>
        <w:t>图12 《DB43/T1861-2020成人高等教育课程教学质量评价规范》</w:t>
      </w:r>
    </w:p>
    <w:p w14:paraId="712D5E14">
      <w:pPr>
        <w:spacing w:line="560" w:lineRule="exact"/>
        <w:ind w:firstLine="640"/>
        <w:rPr>
          <w:rFonts w:hint="eastAsia" w:ascii="仿宋_GB2312" w:hAnsi="宋体"/>
          <w:szCs w:val="28"/>
          <w:lang w:val="en-US" w:eastAsia="zh-CN"/>
        </w:rPr>
      </w:pPr>
      <w:r>
        <w:rPr>
          <w:rFonts w:hint="eastAsia" w:ascii="仿宋_GB2312" w:hAnsi="宋体"/>
          <w:szCs w:val="28"/>
          <w:lang w:eastAsia="zh-CN"/>
        </w:rPr>
        <w:t>这一框架构建了一个覆盖课程全生命周期、兼顾“预设-过程-结果”的综合性评价模型。</w:t>
      </w:r>
      <w:r>
        <w:rPr>
          <w:rFonts w:hint="eastAsia" w:ascii="仿宋_GB2312" w:hAnsi="宋体"/>
          <w:szCs w:val="28"/>
          <w:lang w:val="en-US" w:eastAsia="zh-CN"/>
        </w:rPr>
        <w:t>主要参考《DB43/T1861-2020成人高等教育课程教学质量评价规范》附录A(规范性附录)成人高等教育课程教学质量评价指标体系及其内涵以及《T/CSWA 001—2023 科普视频评价指标体系》也采用了类似的“一级指标-二级指标-评价要点”结构，这表明分层、分类的指标体系是当前教育、服务质量评价领域的通行且成熟的工具化做法，本标准借鉴了这种结构化、表格化的呈现方式，确保了评价工作的系统性和可操作性。</w:t>
      </w:r>
    </w:p>
    <w:p w14:paraId="08BB3466">
      <w:pPr>
        <w:spacing w:line="560" w:lineRule="exact"/>
        <w:ind w:firstLine="640"/>
        <w:rPr>
          <w:rFonts w:hint="eastAsia" w:ascii="仿宋_GB2312" w:hAnsi="宋体"/>
          <w:szCs w:val="28"/>
          <w:lang w:val="en-US" w:eastAsia="zh-CN"/>
        </w:rPr>
      </w:pPr>
      <w:r>
        <w:rPr>
          <w:rFonts w:hint="eastAsia" w:ascii="仿宋_GB2312" w:hAnsi="宋体"/>
          <w:szCs w:val="28"/>
          <w:lang w:val="en-US" w:eastAsia="zh-CN"/>
        </w:rPr>
        <w:t>其具体内容紧密结合了农业科普研学的专业属性以及根据</w:t>
      </w:r>
      <w:r>
        <w:rPr>
          <w:rFonts w:hint="eastAsia" w:ascii="仿宋_GB2312" w:hAnsi="楷体"/>
          <w:szCs w:val="32"/>
          <w:lang w:val="en-US" w:eastAsia="zh-CN"/>
        </w:rPr>
        <w:t>《T/GXAS 1175-2025  农业科普研学课程设计指南》“主题设计-目标设计-内容设计-实施设计-资料生成”的框架，分别设计了“课程主题、课程目标、课程内容、课程资料、课程时长、场地与设施、安全保障、教学过程、实践指导、工作人员配置”的二级评价指标，</w:t>
      </w:r>
      <w:r>
        <w:rPr>
          <w:rFonts w:hint="eastAsia" w:ascii="仿宋_GB2312" w:hAnsi="宋体"/>
          <w:szCs w:val="28"/>
          <w:lang w:val="en-US" w:eastAsia="zh-CN"/>
        </w:rPr>
        <w:t>参考《DB43/T1861-2020成人高等教育课程教学质量评价规范》附录A(规范性附录)成人高等教育课程教学质量评价指标体系及其内涵中的“结果质量”一级指标和二级指标“学习感受、完成质量、目标达成”设计了一级评价指标“课程效果”和二级评价指标“达成目标、完成质量、学习感受”。</w:t>
      </w:r>
    </w:p>
    <w:p w14:paraId="775D4E76">
      <w:pPr>
        <w:spacing w:line="560" w:lineRule="exact"/>
        <w:ind w:firstLine="640"/>
        <w:rPr>
          <w:rFonts w:hint="eastAsia" w:ascii="仿宋_GB2312" w:hAnsi="宋体"/>
          <w:szCs w:val="28"/>
          <w:lang w:val="en-US" w:eastAsia="zh-CN"/>
        </w:rPr>
      </w:pPr>
      <w:r>
        <w:rPr>
          <w:rFonts w:hint="eastAsia" w:ascii="仿宋_GB2312" w:hAnsi="宋体"/>
          <w:szCs w:val="28"/>
          <w:lang w:val="en-US" w:eastAsia="zh-CN"/>
        </w:rPr>
        <w:t>附录A农业科普研学课程设计评价指标评分表中关于评价指标由课程设计、课程实施、课程效果三个方面构成，评价采用百分制，其中一级指标的分值分别为40分、30分、30分的赋分依据在整个课程中的重要性来分配权重。课程设计是基础，决定了整个课程的方向和质量，应该占最大比重。课程实施是落实设计的关键环节，也很重要。课程效果则是最终的产出和检验。课程设计是40分，实施30分，效果30分，总分100分，这样的分配突出了设计的基础性地位，同时也给予了实施和效果足够的重视。</w:t>
      </w:r>
    </w:p>
    <w:p w14:paraId="74938E3C">
      <w:pPr>
        <w:spacing w:line="560" w:lineRule="exact"/>
        <w:ind w:firstLine="640"/>
        <w:rPr>
          <w:rFonts w:hint="default" w:ascii="仿宋_GB2312" w:hAnsi="宋体"/>
          <w:szCs w:val="28"/>
          <w:lang w:val="en-US" w:eastAsia="zh-CN"/>
        </w:rPr>
      </w:pPr>
      <w:r>
        <w:rPr>
          <w:rFonts w:hint="eastAsia" w:ascii="仿宋_GB2312" w:hAnsi="宋体"/>
          <w:szCs w:val="28"/>
          <w:lang w:val="en-US" w:eastAsia="zh-CN"/>
        </w:rPr>
        <w:t>各二级指标分值根据其在一级指标下的相对重要性进行微调，确保评价全面而重点突出。农业活动强调“谋定而后动”。课程设计如同育种与规划，决定了课程的根基与方向，其中课程内容（10分）和课程目标（8分）分值最高，因内容科学性、目标明确性是研学成效的核心。安全保障（5分）单列并赋予关键分值，体现了农业实践活动将安全置于首位的行业根本要求。课程实施中教学过程（12分）与实践指导（12分）并重，强调不仅是知识传递，更重视在真实农业场景中的动手操作与即时辅导，这是农业研学区别于课堂教育的关键。课程效果里目标达成（12分）分值最高，体现结果导向；完成质量（10分）关注课程的推广价值与社会效益，如同评估作物的品种价值与生态贡献；学习感受（8分）是课程设计的口碑，也是课程生命力的重要反映。</w:t>
      </w:r>
    </w:p>
    <w:p w14:paraId="32D9AC52">
      <w:pPr>
        <w:spacing w:line="560" w:lineRule="exact"/>
        <w:ind w:firstLine="640"/>
        <w:rPr>
          <w:rFonts w:hint="eastAsia" w:ascii="仿宋_GB2312" w:hAnsi="宋体"/>
          <w:szCs w:val="28"/>
          <w:lang w:val="en-US" w:eastAsia="zh-CN"/>
        </w:rPr>
      </w:pPr>
      <w:r>
        <w:rPr>
          <w:rFonts w:hint="eastAsia" w:ascii="仿宋_GB2312" w:hAnsi="宋体"/>
          <w:szCs w:val="28"/>
          <w:lang w:val="en-US" w:eastAsia="zh-CN"/>
        </w:rPr>
        <w:t>4.评价方法</w:t>
      </w:r>
    </w:p>
    <w:p w14:paraId="140F2B60">
      <w:pPr>
        <w:keepNext w:val="0"/>
        <w:keepLines w:val="0"/>
        <w:widowControl/>
        <w:suppressLineNumbers w:val="0"/>
        <w:jc w:val="left"/>
        <w:rPr>
          <w:rFonts w:hint="eastAsia" w:ascii="仿宋_GB2312" w:hAnsi="仿宋_GB2312" w:cs="仿宋_GB2312"/>
          <w:lang w:val="en-US" w:eastAsia="zh-CN"/>
        </w:rPr>
      </w:pPr>
      <w:r>
        <w:rPr>
          <w:rFonts w:hint="eastAsia" w:ascii="仿宋_GB2312" w:hAnsi="仿宋_GB2312" w:cs="仿宋_GB2312"/>
          <w:lang w:val="en-US" w:eastAsia="zh-CN"/>
        </w:rPr>
        <w:t>（1）评价方式</w:t>
      </w:r>
    </w:p>
    <w:p w14:paraId="0EFDD87A">
      <w:pPr>
        <w:keepNext w:val="0"/>
        <w:keepLines w:val="0"/>
        <w:widowControl/>
        <w:suppressLineNumbers w:val="0"/>
        <w:jc w:val="left"/>
        <w:rPr>
          <w:rFonts w:hint="eastAsia" w:ascii="仿宋_GB2312" w:hAnsi="仿宋_GB2312" w:cs="仿宋_GB2312"/>
          <w:lang w:val="en-US" w:eastAsia="zh-CN"/>
        </w:rPr>
      </w:pPr>
      <w:r>
        <w:rPr>
          <w:rFonts w:hint="eastAsia" w:ascii="仿宋_GB2312" w:hAnsi="仿宋_GB2312" w:cs="仿宋_GB2312"/>
          <w:lang w:val="en-US" w:eastAsia="zh-CN"/>
        </w:rPr>
        <w:t>课程设计评价可采用内部评价或外部评价两种方式进行。</w:t>
      </w:r>
    </w:p>
    <w:p w14:paraId="4C631B76">
      <w:pPr>
        <w:keepNext w:val="0"/>
        <w:keepLines w:val="0"/>
        <w:widowControl/>
        <w:suppressLineNumbers w:val="0"/>
        <w:jc w:val="left"/>
        <w:rPr>
          <w:rFonts w:hint="eastAsia" w:ascii="仿宋_GB2312" w:hAnsi="仿宋_GB2312" w:cs="仿宋_GB2312"/>
          <w:lang w:val="en-US" w:eastAsia="zh-CN"/>
        </w:rPr>
      </w:pPr>
      <w:r>
        <w:rPr>
          <w:rFonts w:hint="default"/>
          <w:color w:val="000000" w:themeColor="text1"/>
          <w:lang w:val="en-US" w:eastAsia="zh-CN"/>
          <w14:textFill>
            <w14:solidFill>
              <w14:schemeClr w14:val="tx1"/>
            </w14:solidFill>
          </w14:textFill>
        </w:rPr>
        <w:t>明确评价</w:t>
      </w:r>
      <w:r>
        <w:rPr>
          <w:rFonts w:hint="eastAsia"/>
          <w:color w:val="000000" w:themeColor="text1"/>
          <w:lang w:val="en-US" w:eastAsia="zh-CN"/>
          <w14:textFill>
            <w14:solidFill>
              <w14:schemeClr w14:val="tx1"/>
            </w14:solidFill>
          </w14:textFill>
        </w:rPr>
        <w:t>方式</w:t>
      </w:r>
      <w:r>
        <w:rPr>
          <w:rFonts w:hint="default"/>
          <w:color w:val="000000" w:themeColor="text1"/>
          <w:lang w:val="en-US" w:eastAsia="zh-CN"/>
          <w14:textFill>
            <w14:solidFill>
              <w14:schemeClr w14:val="tx1"/>
            </w14:solidFill>
          </w14:textFill>
        </w:rPr>
        <w:t>类型（内部/外部）</w:t>
      </w:r>
      <w:r>
        <w:rPr>
          <w:rFonts w:hint="eastAsia"/>
          <w:color w:val="000000" w:themeColor="text1"/>
          <w:lang w:val="en-US" w:eastAsia="zh-CN"/>
          <w14:textFill>
            <w14:solidFill>
              <w14:schemeClr w14:val="tx1"/>
            </w14:solidFill>
          </w14:textFill>
        </w:rPr>
        <w:t>是</w:t>
      </w:r>
      <w:r>
        <w:rPr>
          <w:rFonts w:hint="default"/>
          <w:color w:val="000000" w:themeColor="text1"/>
          <w:lang w:val="en-US" w:eastAsia="zh-CN"/>
          <w14:textFill>
            <w14:solidFill>
              <w14:schemeClr w14:val="tx1"/>
            </w14:solidFill>
          </w14:textFill>
        </w:rPr>
        <w:t>评价活动的基础分类。这是所有管理体系评价的通行前提，旨在区分评价的目的</w:t>
      </w:r>
      <w:r>
        <w:rPr>
          <w:rFonts w:hint="eastAsia"/>
          <w:color w:val="000000" w:themeColor="text1"/>
          <w:lang w:val="en-US" w:eastAsia="zh-CN"/>
          <w14:textFill>
            <w14:solidFill>
              <w14:schemeClr w14:val="tx1"/>
            </w14:solidFill>
          </w14:textFill>
        </w:rPr>
        <w:t>，即</w:t>
      </w:r>
      <w:r>
        <w:rPr>
          <w:rFonts w:hint="default"/>
          <w:color w:val="000000" w:themeColor="text1"/>
          <w:lang w:val="en-US" w:eastAsia="zh-CN"/>
          <w14:textFill>
            <w14:solidFill>
              <w14:schemeClr w14:val="tx1"/>
            </w14:solidFill>
          </w14:textFill>
        </w:rPr>
        <w:t>自我改进 vs外部认证</w:t>
      </w:r>
      <w:r>
        <w:rPr>
          <w:rFonts w:hint="eastAsia"/>
          <w:color w:val="000000" w:themeColor="text1"/>
          <w:lang w:val="en-US" w:eastAsia="zh-CN"/>
          <w14:textFill>
            <w14:solidFill>
              <w14:schemeClr w14:val="tx1"/>
            </w14:solidFill>
          </w14:textFill>
        </w:rPr>
        <w:t>，以及</w:t>
      </w:r>
      <w:r>
        <w:rPr>
          <w:rFonts w:hint="default"/>
          <w:color w:val="000000" w:themeColor="text1"/>
          <w:lang w:val="en-US" w:eastAsia="zh-CN"/>
          <w14:textFill>
            <w14:solidFill>
              <w14:schemeClr w14:val="tx1"/>
            </w14:solidFill>
          </w14:textFill>
        </w:rPr>
        <w:t>责任主体。</w:t>
      </w:r>
    </w:p>
    <w:p w14:paraId="54977335">
      <w:pPr>
        <w:keepNext w:val="0"/>
        <w:keepLines w:val="0"/>
        <w:widowControl/>
        <w:suppressLineNumbers w:val="0"/>
        <w:jc w:val="left"/>
        <w:rPr>
          <w:rFonts w:hint="default" w:ascii="仿宋_GB2312" w:hAnsi="仿宋_GB2312" w:cs="仿宋_GB2312"/>
          <w:lang w:val="en-US" w:eastAsia="zh-CN"/>
        </w:rPr>
      </w:pPr>
      <w:r>
        <w:rPr>
          <w:rFonts w:hint="eastAsia" w:ascii="仿宋_GB2312" w:hAnsi="仿宋_GB2312" w:cs="仿宋_GB2312"/>
          <w:lang w:val="en-US" w:eastAsia="zh-CN"/>
        </w:rPr>
        <w:t>（2）评价规则</w:t>
      </w:r>
    </w:p>
    <w:p w14:paraId="4A1E62D7">
      <w:pPr>
        <w:keepNext w:val="0"/>
        <w:keepLines w:val="0"/>
        <w:widowControl/>
        <w:suppressLineNumbers w:val="0"/>
        <w:jc w:val="left"/>
        <w:rPr>
          <w:rFonts w:hint="eastAsia" w:ascii="仿宋_GB2312" w:hAnsi="仿宋_GB2312" w:cs="仿宋_GB2312"/>
          <w:lang w:val="en-US" w:eastAsia="zh-CN"/>
        </w:rPr>
      </w:pPr>
      <w:r>
        <w:rPr>
          <w:rFonts w:hint="eastAsia" w:ascii="仿宋_GB2312" w:hAnsi="仿宋_GB2312" w:cs="仿宋_GB2312"/>
          <w:lang w:val="en-US" w:eastAsia="zh-CN"/>
        </w:rPr>
        <w:t>按附录A进行逐项评分与综合评判，课程综合评价等级可采用等级制或百分制形式呈现。等级制分为优秀、良好、中等、合格、不合格五级。</w:t>
      </w:r>
    </w:p>
    <w:p w14:paraId="7DE1968F">
      <w:pPr>
        <w:keepNext w:val="0"/>
        <w:keepLines w:val="0"/>
        <w:widowControl/>
        <w:suppressLineNumbers w:val="0"/>
        <w:jc w:val="left"/>
        <w:rPr>
          <w:rFonts w:hint="default" w:ascii="仿宋_GB2312" w:hAnsi="宋体"/>
          <w:szCs w:val="28"/>
          <w:lang w:val="en-US" w:eastAsia="zh-CN"/>
        </w:rPr>
      </w:pPr>
      <w:r>
        <w:rPr>
          <w:rFonts w:hint="eastAsia" w:ascii="仿宋_GB2312" w:hAnsi="仿宋_GB2312" w:cs="仿宋_GB2312"/>
          <w:lang w:val="en-US" w:eastAsia="zh-CN"/>
        </w:rPr>
        <w:t>这是科学评价的基础流程。“逐项评分”确保对每个具体指标进行客观衡量（过程性评价）；“综合评判”则基于权重对整体表现进行概括（终结性评价），两者结合是通用做法。等级制（如优/良/中/差）和百分制是我国教育、评估领域最常用、最易理解的两种结果呈现方式，其认知度和接受度最高。“优秀、良好、中等、合格、不合格”这五级制是国内教育、职称、项目评审等多个领域的通用分级范式。</w:t>
      </w:r>
    </w:p>
    <w:p w14:paraId="17546A91">
      <w:pPr>
        <w:spacing w:line="560" w:lineRule="exact"/>
        <w:ind w:firstLine="640"/>
        <w:rPr>
          <w:rFonts w:hint="default" w:ascii="仿宋_GB2312" w:hAnsi="宋体"/>
          <w:szCs w:val="28"/>
          <w:lang w:val="en-US" w:eastAsia="zh-CN"/>
        </w:rPr>
      </w:pPr>
      <w:r>
        <w:rPr>
          <w:rFonts w:hint="eastAsia" w:ascii="仿宋_GB2312" w:hAnsi="宋体"/>
          <w:szCs w:val="28"/>
          <w:lang w:val="en-US" w:eastAsia="zh-CN"/>
        </w:rPr>
        <w:t>4.评价流程及要求</w:t>
      </w:r>
    </w:p>
    <w:p w14:paraId="57A10E4E">
      <w:pPr>
        <w:keepNext w:val="0"/>
        <w:keepLines w:val="0"/>
        <w:widowControl/>
        <w:suppressLineNumbers w:val="0"/>
        <w:jc w:val="left"/>
        <w:rPr>
          <w:rFonts w:hint="eastAsia" w:ascii="仿宋_GB2312" w:hAnsi="仿宋_GB2312" w:cs="仿宋_GB2312"/>
          <w:lang w:val="en-US" w:eastAsia="zh-CN"/>
        </w:rPr>
      </w:pPr>
      <w:r>
        <w:rPr>
          <w:rFonts w:hint="eastAsia" w:ascii="仿宋_GB2312" w:hAnsi="仿宋_GB2312" w:cs="仿宋_GB2312"/>
          <w:lang w:val="en-US" w:eastAsia="zh-CN"/>
        </w:rPr>
        <w:t>（1）评价流程</w:t>
      </w:r>
    </w:p>
    <w:p w14:paraId="42CB7F77">
      <w:pPr>
        <w:keepNext w:val="0"/>
        <w:keepLines w:val="0"/>
        <w:widowControl/>
        <w:suppressLineNumbers w:val="0"/>
        <w:jc w:val="left"/>
        <w:rPr>
          <w:rFonts w:hint="eastAsia" w:ascii="仿宋_GB2312" w:hAnsi="仿宋_GB2312" w:eastAsia="仿宋_GB2312" w:cs="仿宋_GB2312"/>
          <w:b w:val="0"/>
          <w:bCs w:val="0"/>
          <w:i w:val="0"/>
          <w:iCs w:val="0"/>
          <w:caps w:val="0"/>
          <w:spacing w:val="0"/>
          <w:sz w:val="32"/>
          <w:szCs w:val="24"/>
          <w:shd w:val="clear"/>
        </w:rPr>
      </w:pPr>
      <w:r>
        <w:rPr>
          <w:rFonts w:hint="eastAsia" w:ascii="仿宋_GB2312" w:hAnsi="仿宋_GB2312" w:cs="仿宋_GB2312"/>
          <w:lang w:val="en-US" w:eastAsia="zh-CN"/>
        </w:rPr>
        <w:t>本文件将评价流程确立为“评价准备→评价实施→评价报告→评价反馈”的闭环系统，完整呈现了一个“计划（Plan）-执行（Do）-检查（Check）-处理（Act）”（PDCA）质量管理循环，确保评价活动不是一次性的，而是一个螺旋式上升的、持续优化的管理过程，从而形成了一个科学、规范、闭环且易于实施的工作指南。主要是根据广西热作所近年来完善内部课程质量管理的实际经验，</w:t>
      </w:r>
      <w:r>
        <w:rPr>
          <w:rStyle w:val="11"/>
          <w:rFonts w:hint="eastAsia" w:ascii="仿宋_GB2312" w:hAnsi="仿宋_GB2312" w:eastAsia="仿宋_GB2312" w:cs="仿宋_GB2312"/>
          <w:b w:val="0"/>
          <w:bCs w:val="0"/>
          <w:i w:val="0"/>
          <w:iCs w:val="0"/>
          <w:caps w:val="0"/>
          <w:color w:val="0F1115"/>
          <w:spacing w:val="0"/>
          <w:sz w:val="32"/>
          <w:szCs w:val="24"/>
          <w:shd w:val="clear" w:fill="FFFFFF"/>
        </w:rPr>
        <w:t>本标准将此实践提炼为标准化的流程，旨在推动行业建立持续改进的质量文化。</w:t>
      </w:r>
    </w:p>
    <w:p w14:paraId="45C77EE7">
      <w:pPr>
        <w:keepNext w:val="0"/>
        <w:keepLines w:val="0"/>
        <w:widowControl/>
        <w:suppressLineNumbers w:val="0"/>
        <w:jc w:val="center"/>
        <w:rPr>
          <w:rFonts w:hint="eastAsia" w:ascii="仿宋_GB2312" w:hAnsi="仿宋_GB2312" w:eastAsia="仿宋_GB2312" w:cs="仿宋_GB2312"/>
          <w:b w:val="0"/>
          <w:bCs w:val="0"/>
          <w:i w:val="0"/>
          <w:iCs w:val="0"/>
          <w:caps w:val="0"/>
          <w:spacing w:val="0"/>
          <w:sz w:val="32"/>
          <w:szCs w:val="24"/>
          <w:shd w:val="clear"/>
          <w:lang w:val="en-US" w:eastAsia="zh-CN"/>
        </w:rPr>
      </w:pPr>
      <w:r>
        <w:drawing>
          <wp:inline distT="0" distB="0" distL="114300" distR="114300">
            <wp:extent cx="4419600" cy="3329305"/>
            <wp:effectExtent l="0" t="0" r="0" b="4445"/>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pic:cNvPicPr>
                      <a:picLocks noChangeAspect="1"/>
                    </pic:cNvPicPr>
                  </pic:nvPicPr>
                  <pic:blipFill>
                    <a:blip r:embed="rId21"/>
                    <a:stretch>
                      <a:fillRect/>
                    </a:stretch>
                  </pic:blipFill>
                  <pic:spPr>
                    <a:xfrm>
                      <a:off x="0" y="0"/>
                      <a:ext cx="4419600" cy="3329305"/>
                    </a:xfrm>
                    <a:prstGeom prst="rect">
                      <a:avLst/>
                    </a:prstGeom>
                    <a:noFill/>
                    <a:ln>
                      <a:noFill/>
                    </a:ln>
                  </pic:spPr>
                </pic:pic>
              </a:graphicData>
            </a:graphic>
          </wp:inline>
        </w:drawing>
      </w:r>
    </w:p>
    <w:p w14:paraId="305DC0C8">
      <w:pPr>
        <w:keepNext w:val="0"/>
        <w:keepLines w:val="0"/>
        <w:widowControl/>
        <w:suppressLineNumbers w:val="0"/>
        <w:spacing w:line="560" w:lineRule="exact"/>
        <w:ind w:firstLine="0" w:firstLineChars="0"/>
        <w:jc w:val="center"/>
        <w:rPr>
          <w:rFonts w:hint="default" w:ascii="仿宋_GB2312" w:hAnsi="楷体" w:cs="Times New Roman"/>
          <w:sz w:val="21"/>
          <w:szCs w:val="21"/>
          <w:lang w:val="en-US" w:eastAsia="zh-CN"/>
        </w:rPr>
      </w:pPr>
      <w:r>
        <w:rPr>
          <w:rFonts w:hint="eastAsia" w:ascii="仿宋_GB2312" w:hAnsi="楷体" w:cs="Times New Roman"/>
          <w:sz w:val="21"/>
          <w:szCs w:val="21"/>
          <w:lang w:val="en-US" w:eastAsia="zh-CN"/>
        </w:rPr>
        <w:t>图13 评价流程图</w:t>
      </w:r>
    </w:p>
    <w:p w14:paraId="4CC291D1">
      <w:pPr>
        <w:spacing w:line="560" w:lineRule="exact"/>
        <w:ind w:firstLine="640"/>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（2）评价要求</w:t>
      </w:r>
    </w:p>
    <w:p w14:paraId="18C2995B">
      <w:pPr>
        <w:spacing w:line="560" w:lineRule="exact"/>
        <w:ind w:firstLine="640"/>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①评价方式</w:t>
      </w:r>
    </w:p>
    <w:p w14:paraId="56902B71">
      <w:pPr>
        <w:spacing w:line="560" w:lineRule="exact"/>
        <w:ind w:firstLine="640"/>
        <w:rPr>
          <w:rFonts w:hint="default" w:ascii="微软雅黑" w:hAnsi="微软雅黑" w:eastAsia="微软雅黑" w:cs="微软雅黑"/>
          <w:color w:val="000000" w:themeColor="text1"/>
          <w:lang w:val="en-US" w:eastAsia="zh-CN"/>
          <w14:textFill>
            <w14:solidFill>
              <w14:schemeClr w14:val="tx1"/>
            </w14:solidFill>
          </w14:textFill>
        </w:rPr>
      </w:pPr>
      <w:r>
        <w:rPr>
          <w:rFonts w:hint="default"/>
          <w:color w:val="000000" w:themeColor="text1"/>
          <w:lang w:val="en-US" w:eastAsia="zh-CN"/>
          <w14:textFill>
            <w14:solidFill>
              <w14:schemeClr w14:val="tx1"/>
            </w14:solidFill>
          </w14:textFill>
        </w:rPr>
        <w:t>内部定期发起，外部需申请</w:t>
      </w:r>
      <w:r>
        <w:rPr>
          <w:rFonts w:hint="eastAsia"/>
          <w:color w:val="000000" w:themeColor="text1"/>
          <w:lang w:val="en-US" w:eastAsia="zh-CN"/>
          <w14:textFill>
            <w14:solidFill>
              <w14:schemeClr w14:val="tx1"/>
            </w14:solidFill>
          </w14:textFill>
        </w:rPr>
        <w:t>则是</w:t>
      </w:r>
      <w:r>
        <w:rPr>
          <w:rFonts w:hint="default"/>
          <w:color w:val="000000" w:themeColor="text1"/>
          <w:lang w:val="en-US" w:eastAsia="zh-CN"/>
          <w14:textFill>
            <w14:solidFill>
              <w14:schemeClr w14:val="tx1"/>
            </w14:solidFill>
          </w14:textFill>
        </w:rPr>
        <w:t>质量管理和持续改进理念的体现。内部定期源于“PDCA循环”（计划-执行-检查-处理），将自我评价作为周期性管理工具。外部申请与受理是确保评价合规性、严肃性和可行性的必要程序，常见于各类认证评价流程。</w:t>
      </w:r>
    </w:p>
    <w:p w14:paraId="67DBC0A4">
      <w:pPr>
        <w:spacing w:line="560" w:lineRule="exact"/>
        <w:ind w:firstLine="640"/>
        <w:rPr>
          <w:rFonts w:hint="default"/>
          <w:color w:val="000000" w:themeColor="text1"/>
          <w:lang w:val="en-US" w:eastAsia="zh-CN"/>
          <w14:textFill>
            <w14:solidFill>
              <w14:schemeClr w14:val="tx1"/>
            </w14:solidFill>
          </w14:textFill>
        </w:rPr>
      </w:pPr>
      <w:r>
        <w:rPr>
          <w:rFonts w:hint="default" w:ascii="微软雅黑" w:hAnsi="微软雅黑" w:eastAsia="微软雅黑" w:cs="微软雅黑"/>
          <w:color w:val="000000" w:themeColor="text1"/>
          <w:lang w:val="en-US" w:eastAsia="zh-CN"/>
          <w14:textFill>
            <w14:solidFill>
              <w14:schemeClr w14:val="tx1"/>
            </w14:solidFill>
          </w14:textFill>
        </w:rPr>
        <w:t>②</w:t>
      </w:r>
      <w:r>
        <w:rPr>
          <w:rFonts w:hint="eastAsia"/>
          <w:color w:val="000000" w:themeColor="text1"/>
          <w:lang w:val="en-US" w:eastAsia="zh-CN"/>
          <w14:textFill>
            <w14:solidFill>
              <w14:schemeClr w14:val="tx1"/>
            </w14:solidFill>
          </w14:textFill>
        </w:rPr>
        <w:t>评价准备</w:t>
      </w:r>
    </w:p>
    <w:p w14:paraId="53550C0F">
      <w:pPr>
        <w:spacing w:line="560" w:lineRule="exact"/>
        <w:ind w:firstLine="640"/>
        <w:rPr>
          <w:rFonts w:hint="default"/>
          <w:color w:val="000000" w:themeColor="text1"/>
          <w:lang w:val="en-US" w:eastAsia="zh-CN"/>
          <w14:textFill>
            <w14:solidFill>
              <w14:schemeClr w14:val="tx1"/>
            </w14:solidFill>
          </w14:textFill>
        </w:rPr>
      </w:pPr>
      <w:r>
        <w:rPr>
          <w:rFonts w:hint="default"/>
          <w:color w:val="000000" w:themeColor="text1"/>
          <w:lang w:val="en-US" w:eastAsia="zh-CN"/>
          <w14:textFill>
            <w14:solidFill>
              <w14:schemeClr w14:val="tx1"/>
            </w14:solidFill>
          </w14:textFill>
        </w:rPr>
        <w:t>组建评价成员团队、准备工具</w:t>
      </w:r>
      <w:r>
        <w:rPr>
          <w:rFonts w:hint="eastAsia"/>
          <w:color w:val="000000" w:themeColor="text1"/>
          <w:lang w:val="en-US" w:eastAsia="zh-CN"/>
          <w14:textFill>
            <w14:solidFill>
              <w14:schemeClr w14:val="tx1"/>
            </w14:solidFill>
          </w14:textFill>
        </w:rPr>
        <w:t>，</w:t>
      </w:r>
      <w:r>
        <w:rPr>
          <w:rFonts w:hint="default"/>
          <w:color w:val="000000" w:themeColor="text1"/>
          <w:lang w:val="en-US" w:eastAsia="zh-CN"/>
          <w14:textFill>
            <w14:solidFill>
              <w14:schemeClr w14:val="tx1"/>
            </w14:solidFill>
          </w14:textFill>
        </w:rPr>
        <w:t>保证评价过程专业性、规范性和一致性的核心措施。成立评价组参考GB/T 1.1-2020《标准化工作导则》对标准起草组的要求，强调专业构成与职责明确。制定实施方案与工具：是评价科学性的直接体现，确保评价基于统一的尺度（如附录</w:t>
      </w:r>
      <w:r>
        <w:rPr>
          <w:rFonts w:hint="eastAsia"/>
          <w:color w:val="000000" w:themeColor="text1"/>
          <w:lang w:val="en-US" w:eastAsia="zh-CN"/>
          <w14:textFill>
            <w14:solidFill>
              <w14:schemeClr w14:val="tx1"/>
            </w14:solidFill>
          </w14:textFill>
        </w:rPr>
        <w:t>A</w:t>
      </w:r>
      <w:r>
        <w:rPr>
          <w:rFonts w:hint="default"/>
          <w:color w:val="000000" w:themeColor="text1"/>
          <w:lang w:val="en-US" w:eastAsia="zh-CN"/>
          <w14:textFill>
            <w14:solidFill>
              <w14:schemeClr w14:val="tx1"/>
            </w14:solidFill>
          </w14:textFill>
        </w:rPr>
        <w:t>）执行，避免随意性。</w:t>
      </w:r>
    </w:p>
    <w:p w14:paraId="7223BBBB">
      <w:pPr>
        <w:spacing w:line="560" w:lineRule="exact"/>
        <w:ind w:firstLine="640"/>
        <w:jc w:val="both"/>
        <w:rPr>
          <w:rFonts w:hint="default"/>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组建评价成员团队要求主要参考并遵循了《DB4105/T240-2024研学旅行综合评价指南》的成熟模式，</w:t>
      </w:r>
      <w:r>
        <w:rPr>
          <w:rFonts w:hint="eastAsia" w:ascii="仿宋_GB2312" w:hAnsi="楷体"/>
          <w:szCs w:val="32"/>
          <w:lang w:val="en-US" w:eastAsia="zh-CN"/>
        </w:rPr>
        <w:t>并结合农业科普研学评价特点，评价成员要求主要依据农业科普研学课程横跨教育、农业、文旅等多领域，其质量的衡量需要复合型视角。</w:t>
      </w:r>
      <w:r>
        <w:rPr>
          <w:rFonts w:hint="default"/>
          <w:color w:val="000000" w:themeColor="text1"/>
          <w:lang w:val="en-US" w:eastAsia="zh-CN"/>
          <w14:textFill>
            <w14:solidFill>
              <w14:schemeClr w14:val="tx1"/>
            </w14:solidFill>
          </w14:textFill>
        </w:rPr>
        <w:t>高校课程评价普遍明确任课教师、课程负责人为“第一责任人”，是内部评价的直接执行主体</w:t>
      </w:r>
      <w:r>
        <w:rPr>
          <w:rFonts w:hint="eastAsia"/>
          <w:color w:val="000000" w:themeColor="text1"/>
          <w:lang w:val="en-US" w:eastAsia="zh-CN"/>
          <w14:textFill>
            <w14:solidFill>
              <w14:schemeClr w14:val="tx1"/>
            </w14:solidFill>
          </w14:textFill>
        </w:rPr>
        <w:t>，同时参考并遵循了《DB4105/T240-2024研学旅行综合评价指南》的成熟模式，</w:t>
      </w:r>
      <w:r>
        <w:rPr>
          <w:rFonts w:hint="eastAsia" w:ascii="仿宋_GB2312" w:hAnsi="楷体"/>
          <w:szCs w:val="32"/>
          <w:lang w:val="en-US" w:eastAsia="zh-CN"/>
        </w:rPr>
        <w:t>并结合农业科普研学评价特点，将评价成员分为包括但不限于内部评价的研学课程实施方，外部评价的主管部门或行业组织、第三方服务机构。农业专家（可含于实施方或第三方）能判断内容的科学性；教育工作者（带队教师）能评估教学设计的适切性；学生、家长带队教师反馈实践体验与收获；农业、教育等主管部门及行业协会则从行业规范、政策落实角度进行宏观指导与监管。明确列出多方主体，正是为了确保评价工作能够覆盖农业科普研学所涉及的所有关键专业领域和利益相关方，从而作出准确、全面的判断。</w:t>
      </w:r>
    </w:p>
    <w:p w14:paraId="0BD39F9F">
      <w:pPr>
        <w:spacing w:line="560" w:lineRule="exact"/>
        <w:ind w:left="0" w:leftChars="0" w:firstLine="0" w:firstLineChars="0"/>
        <w:jc w:val="center"/>
        <w:rPr>
          <w:rFonts w:hint="eastAsia" w:ascii="仿宋_GB2312" w:hAnsi="楷体" w:cs="Times New Roman"/>
          <w:sz w:val="21"/>
          <w:szCs w:val="21"/>
          <w:lang w:val="en-US" w:eastAsia="zh-CN"/>
        </w:rPr>
      </w:pPr>
      <w:r>
        <w:drawing>
          <wp:anchor distT="0" distB="0" distL="114300" distR="114300" simplePos="0" relativeHeight="251665408" behindDoc="0" locked="0" layoutInCell="1" allowOverlap="1">
            <wp:simplePos x="0" y="0"/>
            <wp:positionH relativeFrom="column">
              <wp:posOffset>9525</wp:posOffset>
            </wp:positionH>
            <wp:positionV relativeFrom="paragraph">
              <wp:posOffset>250825</wp:posOffset>
            </wp:positionV>
            <wp:extent cx="5683885" cy="1336040"/>
            <wp:effectExtent l="0" t="0" r="2540" b="6985"/>
            <wp:wrapTopAndBottom/>
            <wp:docPr id="2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2"/>
                    <pic:cNvPicPr>
                      <a:picLocks noChangeAspect="1"/>
                    </pic:cNvPicPr>
                  </pic:nvPicPr>
                  <pic:blipFill>
                    <a:blip r:embed="rId22"/>
                    <a:stretch>
                      <a:fillRect/>
                    </a:stretch>
                  </pic:blipFill>
                  <pic:spPr>
                    <a:xfrm>
                      <a:off x="0" y="0"/>
                      <a:ext cx="5683885" cy="1336040"/>
                    </a:xfrm>
                    <a:prstGeom prst="rect">
                      <a:avLst/>
                    </a:prstGeom>
                    <a:noFill/>
                    <a:ln>
                      <a:noFill/>
                    </a:ln>
                  </pic:spPr>
                </pic:pic>
              </a:graphicData>
            </a:graphic>
          </wp:anchor>
        </w:drawing>
      </w:r>
      <w:r>
        <w:rPr>
          <w:rFonts w:hint="eastAsia" w:ascii="仿宋_GB2312" w:hAnsi="楷体" w:cs="Times New Roman"/>
          <w:sz w:val="21"/>
          <w:szCs w:val="21"/>
          <w:lang w:val="en-US" w:eastAsia="zh-CN"/>
        </w:rPr>
        <w:t>图14 《DB4105/T240-2024研学旅行综合评价指南》</w:t>
      </w:r>
    </w:p>
    <w:p w14:paraId="6DC8022D">
      <w:pPr>
        <w:spacing w:line="560" w:lineRule="exact"/>
        <w:ind w:firstLine="640"/>
        <w:rPr>
          <w:rFonts w:hint="default"/>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成员需涵盖农业、教育、科普等相关领域的专家或从业人士，能够对研学课程内容的科学性、活动设计的合理性、现场教学的实施质量作出专业客观判断；成员组成应为不少于5人的单数，且需包含至少2名农业科普领域专家；成员应具备副高级及以上专业技术职称，或具备同等水平的专业资质与经验，且掌握与评价工作相匹配的知识与技能；所有评价成员应与课程提供方、实施方及委托方无可能影响评价公正性的利益关联；</w:t>
      </w:r>
      <w:r>
        <w:rPr>
          <w:rFonts w:hint="eastAsia"/>
          <w:lang w:eastAsia="zh-CN"/>
        </w:rPr>
        <w:t>学员、学校带队教师、家长等作为课程核心利益相关方</w:t>
      </w:r>
      <w:r>
        <w:rPr>
          <w:rFonts w:hint="eastAsia"/>
          <w:lang w:val="en-US" w:eastAsia="zh-CN"/>
        </w:rPr>
        <w:t>应</w:t>
      </w:r>
      <w:r>
        <w:rPr>
          <w:rFonts w:hint="eastAsia"/>
          <w:lang w:eastAsia="zh-CN"/>
        </w:rPr>
        <w:t>参与评价过程。</w:t>
      </w:r>
    </w:p>
    <w:p w14:paraId="5DFA8F9B">
      <w:pPr>
        <w:spacing w:line="560" w:lineRule="exact"/>
        <w:ind w:firstLine="640"/>
        <w:rPr>
          <w:rFonts w:hint="eastAsia"/>
          <w:color w:val="000000" w:themeColor="text1"/>
          <w:lang w:eastAsia="zh-CN"/>
          <w14:textFill>
            <w14:solidFill>
              <w14:schemeClr w14:val="tx1"/>
            </w14:solidFill>
          </w14:textFill>
        </w:rPr>
      </w:pPr>
      <w:r>
        <w:rPr>
          <w:rFonts w:hint="eastAsia"/>
          <w:color w:val="000000" w:themeColor="text1"/>
          <w:lang w:val="en-US" w:eastAsia="zh-CN"/>
          <w14:textFill>
            <w14:solidFill>
              <w14:schemeClr w14:val="tx1"/>
            </w14:solidFill>
          </w14:textFill>
        </w:rPr>
        <w:t>主要依据</w:t>
      </w:r>
      <w:r>
        <w:rPr>
          <w:rFonts w:hint="eastAsia" w:ascii="仿宋_GB2312" w:hAnsi="楷体"/>
          <w:szCs w:val="32"/>
          <w:lang w:val="en-US" w:eastAsia="zh-CN"/>
        </w:rPr>
        <w:t>《T/GXAS 1175-2025  农业科普研学课程设计指南》中关于“团队构成”指出“团队建议由农业、教育、科普等领域的专家或相关从业者组成。”</w:t>
      </w:r>
      <w:r>
        <w:rPr>
          <w:rFonts w:hint="eastAsia"/>
          <w:color w:val="000000" w:themeColor="text1"/>
          <w:lang w:eastAsia="zh-CN"/>
          <w14:textFill>
            <w14:solidFill>
              <w14:schemeClr w14:val="tx1"/>
            </w14:solidFill>
          </w14:textFill>
        </w:rPr>
        <w:t>《中小学综合实践活动课程指导纲要》强调的“多元评价和综合考察”“避免将评价简化为分数或等级”，为评价工作指明了方法论，对评价主体专业性的要求，是落实这一科学评价观的前提，只有具备专业能力的评价者，才能进行超越表面形式的、深入的质性评价，并对</w:t>
      </w:r>
      <w:r>
        <w:rPr>
          <w:rFonts w:hint="eastAsia"/>
          <w:color w:val="000000" w:themeColor="text1"/>
          <w:lang w:val="en-US" w:eastAsia="zh-CN"/>
          <w14:textFill>
            <w14:solidFill>
              <w14:schemeClr w14:val="tx1"/>
            </w14:solidFill>
          </w14:textFill>
        </w:rPr>
        <w:t>学员</w:t>
      </w:r>
      <w:r>
        <w:rPr>
          <w:rFonts w:hint="eastAsia"/>
          <w:color w:val="000000" w:themeColor="text1"/>
          <w:lang w:eastAsia="zh-CN"/>
          <w14:textFill>
            <w14:solidFill>
              <w14:schemeClr w14:val="tx1"/>
            </w14:solidFill>
          </w14:textFill>
        </w:rPr>
        <w:t>多样化的学习成果给予专业上的充分肯定。</w:t>
      </w:r>
    </w:p>
    <w:p w14:paraId="3334D18F">
      <w:pPr>
        <w:spacing w:line="560" w:lineRule="exact"/>
        <w:ind w:firstLine="640"/>
        <w:rPr>
          <w:rFonts w:hint="eastAsia"/>
          <w:color w:val="000000" w:themeColor="text1"/>
          <w:lang w:eastAsia="zh-CN"/>
          <w14:textFill>
            <w14:solidFill>
              <w14:schemeClr w14:val="tx1"/>
            </w14:solidFill>
          </w14:textFill>
        </w:rPr>
      </w:pPr>
      <w:r>
        <w:rPr>
          <w:rFonts w:hint="eastAsia"/>
          <w:color w:val="000000" w:themeColor="text1"/>
          <w:lang w:eastAsia="zh-CN"/>
          <w14:textFill>
            <w14:solidFill>
              <w14:schemeClr w14:val="tx1"/>
            </w14:solidFill>
          </w14:textFill>
        </w:rPr>
        <w:t>“5人单数”这是评审类工作的常见配置，</w:t>
      </w:r>
      <w:r>
        <w:rPr>
          <w:rFonts w:hint="eastAsia"/>
          <w:color w:val="000000" w:themeColor="text1"/>
          <w:lang w:val="en-US" w:eastAsia="zh-CN"/>
          <w14:textFill>
            <w14:solidFill>
              <w14:schemeClr w14:val="tx1"/>
            </w14:solidFill>
          </w14:textFill>
        </w:rPr>
        <w:t>也是编制组的工作经验，</w:t>
      </w:r>
      <w:r>
        <w:rPr>
          <w:rFonts w:hint="eastAsia"/>
          <w:color w:val="000000" w:themeColor="text1"/>
          <w:lang w:eastAsia="zh-CN"/>
          <w14:textFill>
            <w14:solidFill>
              <w14:schemeClr w14:val="tx1"/>
            </w14:solidFill>
          </w14:textFill>
        </w:rPr>
        <w:t>单数能确保在合议评分或出现分歧时，可按少数服从多数原则形成有效决议。5人团队在专业性覆盖、操作成本与效率之间能达到较好平衡，是很多认证评价活动的基本要求。</w:t>
      </w:r>
    </w:p>
    <w:p w14:paraId="16BB5796">
      <w:pPr>
        <w:spacing w:line="560" w:lineRule="exact"/>
        <w:ind w:firstLine="640"/>
        <w:rPr>
          <w:rFonts w:hint="eastAsia"/>
          <w:color w:val="000000" w:themeColor="text1"/>
          <w:lang w:eastAsia="zh-CN"/>
          <w14:textFill>
            <w14:solidFill>
              <w14:schemeClr w14:val="tx1"/>
            </w14:solidFill>
          </w14:textFill>
        </w:rPr>
      </w:pPr>
      <w:r>
        <w:rPr>
          <w:rFonts w:hint="eastAsia"/>
          <w:color w:val="000000" w:themeColor="text1"/>
          <w:lang w:eastAsia="zh-CN"/>
          <w14:textFill>
            <w14:solidFill>
              <w14:schemeClr w14:val="tx1"/>
            </w14:solidFill>
          </w14:textFill>
        </w:rPr>
        <w:t>“至少2名农业科普领域专家”这是保障评价专业性与权威性的核心。农业科普是跨农业科学、教育学和科普传播的专门领域，需有足够数量的专家从内容科学性、教学方法适切性等核心维度进行把关。设置至少2名，可避免个人视角的局限，并能进行专业对话与复核。</w:t>
      </w:r>
    </w:p>
    <w:p w14:paraId="262564E3">
      <w:pPr>
        <w:spacing w:line="560" w:lineRule="exact"/>
        <w:ind w:firstLine="640"/>
        <w:rPr>
          <w:rFonts w:hint="eastAsia" w:ascii="仿宋_GB2312" w:hAnsi="仿宋_GB2312" w:cs="仿宋_GB2312"/>
          <w:lang w:val="en-US" w:eastAsia="zh-CN"/>
        </w:rPr>
      </w:pPr>
      <w:r>
        <w:rPr>
          <w:rFonts w:hint="default" w:ascii="仿宋_GB2312" w:hAnsi="仿宋_GB2312" w:cs="仿宋_GB2312"/>
          <w:lang w:val="en-US" w:eastAsia="zh-CN"/>
        </w:rPr>
        <w:t>③</w:t>
      </w:r>
      <w:r>
        <w:rPr>
          <w:rFonts w:hint="eastAsia" w:ascii="仿宋_GB2312" w:hAnsi="仿宋_GB2312" w:cs="仿宋_GB2312"/>
          <w:lang w:val="en-US" w:eastAsia="zh-CN"/>
        </w:rPr>
        <w:t>评价实施</w:t>
      </w:r>
    </w:p>
    <w:p w14:paraId="431731CE">
      <w:pPr>
        <w:spacing w:line="560" w:lineRule="exact"/>
        <w:ind w:firstLine="640"/>
        <w:rPr>
          <w:rFonts w:hint="eastAsia" w:ascii="仿宋_GB2312" w:hAnsi="仿宋_GB2312" w:cs="仿宋_GB2312"/>
          <w:lang w:val="en-US" w:eastAsia="zh-CN"/>
        </w:rPr>
      </w:pPr>
      <w:r>
        <w:rPr>
          <w:rFonts w:hint="eastAsia" w:ascii="仿宋_GB2312" w:hAnsi="仿宋_GB2312" w:cs="仿宋_GB2312"/>
          <w:lang w:val="en-US" w:eastAsia="zh-CN"/>
        </w:rPr>
        <w:t>数据与材料收集：应全面采集来自课程方案、教学过程、参与方反馈等各环节的信息，主要方法包括但不限于文档审阅、问卷调查、现场观察、访谈与座谈等多种方式。主要参考了《DB4105/T240-2024研学旅行综合评价指南》《DB36/T 1413.4—2021 中小学研学旅行 第4部分：评价规范》的评价方法，本标准在此基础上进行了整合与细化，形成了更具体、更具针对性的操作指引。</w:t>
      </w:r>
    </w:p>
    <w:p w14:paraId="3D66E0FC">
      <w:pPr>
        <w:spacing w:line="560" w:lineRule="exact"/>
        <w:ind w:firstLine="640"/>
        <w:rPr>
          <w:rFonts w:hint="eastAsia" w:ascii="仿宋_GB2312" w:hAnsi="宋体"/>
          <w:szCs w:val="28"/>
          <w:lang w:val="en-US" w:eastAsia="zh-CN"/>
        </w:rPr>
      </w:pPr>
      <w:r>
        <w:rPr>
          <w:rFonts w:hint="eastAsia" w:ascii="仿宋_GB2312" w:hAnsi="宋体"/>
          <w:szCs w:val="28"/>
          <w:lang w:val="en-US" w:eastAsia="zh-CN"/>
        </w:rPr>
        <w:t>查阅材料（文档分析法）：用于系统分析课程的预设目标、方案设计与制度文本，是评价课程设计科学性和管理规范性的基础。</w:t>
      </w:r>
    </w:p>
    <w:p w14:paraId="4CC321F6">
      <w:pPr>
        <w:spacing w:line="560" w:lineRule="exact"/>
        <w:ind w:firstLine="640"/>
        <w:rPr>
          <w:rFonts w:hint="eastAsia" w:ascii="仿宋_GB2312" w:hAnsi="宋体"/>
          <w:szCs w:val="28"/>
          <w:lang w:val="en-US" w:eastAsia="zh-CN"/>
        </w:rPr>
      </w:pPr>
      <w:r>
        <w:rPr>
          <w:rFonts w:hint="eastAsia" w:ascii="仿宋_GB2312" w:hAnsi="宋体"/>
          <w:szCs w:val="28"/>
          <w:lang w:val="en-US" w:eastAsia="zh-CN"/>
        </w:rPr>
        <w:t>满意度问卷调查（定量研究法）：用于大范围、高效地收集参与者（学生、家长、教师）的满意度、收获感等主观体验数据，便于进行统计分析和横向比较。附录B提供了示例。</w:t>
      </w:r>
    </w:p>
    <w:p w14:paraId="28ACDC6A">
      <w:pPr>
        <w:spacing w:line="560" w:lineRule="exact"/>
        <w:ind w:firstLine="640"/>
        <w:rPr>
          <w:rFonts w:hint="eastAsia" w:ascii="仿宋_GB2312" w:hAnsi="宋体"/>
          <w:szCs w:val="28"/>
          <w:lang w:val="en-US" w:eastAsia="zh-CN"/>
        </w:rPr>
      </w:pPr>
      <w:r>
        <w:rPr>
          <w:rFonts w:hint="eastAsia" w:ascii="仿宋_GB2312" w:hAnsi="宋体"/>
          <w:szCs w:val="28"/>
          <w:lang w:val="en-US" w:eastAsia="zh-CN"/>
        </w:rPr>
        <w:t>现场观察（质性研究法）：用于获取教学过程、师生互动、实践操作的第一手真实情境信息，是评价教学实施动态过程和现场效果的关键。</w:t>
      </w:r>
    </w:p>
    <w:p w14:paraId="7B115416">
      <w:pPr>
        <w:spacing w:line="560" w:lineRule="exact"/>
        <w:rPr>
          <w:rFonts w:hint="eastAsia" w:ascii="仿宋_GB2312" w:hAnsi="宋体"/>
          <w:szCs w:val="28"/>
          <w:lang w:val="en-US" w:eastAsia="zh-CN"/>
        </w:rPr>
      </w:pPr>
      <w:r>
        <w:rPr>
          <w:rFonts w:hint="eastAsia" w:ascii="仿宋_GB2312" w:hAnsi="宋体"/>
          <w:szCs w:val="28"/>
          <w:lang w:val="en-US" w:eastAsia="zh-CN"/>
        </w:rPr>
        <w:t>访谈与座谈（质性研究法）：用于深入了解各方参与者的具体感受、细节反馈和深层建议，能够弥补问卷的不足，获取更丰富、深入的质性资料。</w:t>
      </w:r>
    </w:p>
    <w:p w14:paraId="0184E810">
      <w:pPr>
        <w:keepNext w:val="0"/>
        <w:keepLines w:val="0"/>
        <w:widowControl/>
        <w:suppressLineNumbers w:val="0"/>
        <w:jc w:val="left"/>
        <w:rPr>
          <w:rFonts w:hint="eastAsia" w:ascii="仿宋_GB2312" w:hAnsi="宋体"/>
          <w:szCs w:val="28"/>
          <w:lang w:val="en-US" w:eastAsia="zh-CN"/>
        </w:rPr>
      </w:pPr>
      <w:r>
        <w:rPr>
          <w:rFonts w:hint="eastAsia" w:ascii="仿宋_GB2312" w:hAnsi="宋体"/>
          <w:szCs w:val="28"/>
          <w:lang w:val="en-US" w:eastAsia="zh-CN"/>
        </w:rPr>
        <w:t>这种“定量与定性相结合”、“静态文本与动态过程相结合”的方法组合，是进行科学、全面课程评价的最佳实践。</w:t>
      </w:r>
    </w:p>
    <w:p w14:paraId="4A62EB3A">
      <w:pPr>
        <w:keepNext w:val="0"/>
        <w:keepLines w:val="0"/>
        <w:widowControl/>
        <w:suppressLineNumbers w:val="0"/>
        <w:jc w:val="left"/>
        <w:rPr>
          <w:rFonts w:hint="eastAsia" w:ascii="仿宋_GB2312" w:hAnsi="宋体"/>
          <w:szCs w:val="28"/>
          <w:lang w:val="en-US" w:eastAsia="zh-CN"/>
        </w:rPr>
      </w:pPr>
      <w:r>
        <w:rPr>
          <w:rFonts w:hint="eastAsia" w:ascii="仿宋_GB2312" w:hAnsi="宋体"/>
          <w:szCs w:val="28"/>
          <w:lang w:val="en-US" w:eastAsia="zh-CN"/>
        </w:rPr>
        <w:t>在标准正文的逻辑流程中承上启下，是确保评价工作从“准备”到“执行”连贯一致的关键一环。在“7.2.2 评价准备”中，已规定需准备“指标评分表（详见附录A）”。本条款则明确在实施阶段“使用”该工具，完成了从工具准备到工具应用的操作闭环。产生的评分结果，是后续进行“数据分析”和“结果形成”（确定评价等级）的数据输入和判定基础。</w:t>
      </w:r>
    </w:p>
    <w:p w14:paraId="7B818A2A">
      <w:pPr>
        <w:keepNext w:val="0"/>
        <w:keepLines w:val="0"/>
        <w:widowControl/>
        <w:suppressLineNumbers w:val="0"/>
        <w:jc w:val="left"/>
        <w:rPr>
          <w:rFonts w:hint="eastAsia" w:ascii="仿宋_GB2312" w:hAnsi="仿宋_GB2312" w:cs="仿宋_GB2312"/>
          <w:lang w:val="en-US" w:eastAsia="zh-CN"/>
        </w:rPr>
      </w:pPr>
      <w:r>
        <w:rPr>
          <w:rFonts w:hint="eastAsia" w:ascii="仿宋_GB2312" w:hAnsi="仿宋_GB2312" w:cs="仿宋_GB2312"/>
          <w:lang w:val="en-US" w:eastAsia="zh-CN"/>
        </w:rPr>
        <w:t>数据分析：——应对收集到的各类数据与材料进行整理、比对和综合分析，明确课程优势与待改进之处。</w:t>
      </w:r>
    </w:p>
    <w:p w14:paraId="18CF334B">
      <w:pPr>
        <w:keepNext w:val="0"/>
        <w:keepLines w:val="0"/>
        <w:widowControl/>
        <w:suppressLineNumbers w:val="0"/>
        <w:jc w:val="left"/>
        <w:rPr>
          <w:rFonts w:hint="eastAsia" w:ascii="仿宋_GB2312" w:hAnsi="仿宋_GB2312" w:cs="仿宋_GB2312"/>
          <w:lang w:val="en-US" w:eastAsia="zh-CN"/>
        </w:rPr>
      </w:pPr>
      <w:r>
        <w:rPr>
          <w:rFonts w:hint="eastAsia" w:ascii="仿宋_GB2312" w:hAnsi="仿宋_GB2312" w:cs="仿宋_GB2312"/>
          <w:lang w:val="en-US" w:eastAsia="zh-CN"/>
        </w:rPr>
        <w:t>主要依据数据分析的通用逻辑。将原始信息转化为有效洞见，是任何评价活动的核心步骤。其目的在于识别模式、发现问题、支持判断，为结论提供逻辑链条。</w:t>
      </w:r>
    </w:p>
    <w:p w14:paraId="3A31A275">
      <w:pPr>
        <w:keepNext w:val="0"/>
        <w:keepLines w:val="0"/>
        <w:widowControl/>
        <w:suppressLineNumbers w:val="0"/>
        <w:jc w:val="left"/>
        <w:rPr>
          <w:rFonts w:hint="eastAsia" w:ascii="仿宋_GB2312" w:hAnsi="仿宋_GB2312" w:cs="仿宋_GB2312"/>
          <w:lang w:val="en-US" w:eastAsia="zh-CN"/>
        </w:rPr>
      </w:pPr>
      <w:r>
        <w:rPr>
          <w:rFonts w:hint="eastAsia" w:ascii="仿宋_GB2312" w:hAnsi="仿宋_GB2312" w:cs="仿宋_GB2312"/>
          <w:lang w:val="en-US" w:eastAsia="zh-CN"/>
        </w:rPr>
        <w:t>结果形成：应基于分析，对照附录A的评价标准与等级划分，形成最终的评价等级结论。</w:t>
      </w:r>
    </w:p>
    <w:p w14:paraId="233CEE29">
      <w:pPr>
        <w:keepNext w:val="0"/>
        <w:keepLines w:val="0"/>
        <w:widowControl/>
        <w:suppressLineNumbers w:val="0"/>
        <w:jc w:val="left"/>
        <w:rPr>
          <w:rFonts w:hint="eastAsia" w:ascii="仿宋_GB2312" w:hAnsi="仿宋_GB2312" w:cs="仿宋_GB2312"/>
          <w:lang w:val="en-US" w:eastAsia="zh-CN"/>
        </w:rPr>
      </w:pPr>
      <w:r>
        <w:rPr>
          <w:rFonts w:hint="eastAsia" w:ascii="仿宋_GB2312" w:hAnsi="仿宋_GB2312" w:cs="仿宋_GB2312"/>
          <w:lang w:val="en-US" w:eastAsia="zh-CN"/>
        </w:rPr>
        <w:t>该条款是标准中设定的评价流程（准备→实施→分析→结果）的逻辑终点与必然产出。为后续可能的课程改进、认证、评选或决策提供了结论性的参考，使评价工作产生实际价值。</w:t>
      </w:r>
      <w:bookmarkStart w:id="3" w:name="_GoBack"/>
      <w:bookmarkEnd w:id="3"/>
    </w:p>
    <w:p w14:paraId="09703209">
      <w:pPr>
        <w:keepNext w:val="0"/>
        <w:keepLines w:val="0"/>
        <w:widowControl/>
        <w:suppressLineNumbers w:val="0"/>
        <w:jc w:val="left"/>
        <w:rPr>
          <w:rFonts w:hint="default" w:ascii="仿宋_GB2312" w:hAnsi="仿宋_GB2312" w:cs="仿宋_GB2312"/>
          <w:lang w:val="en-US" w:eastAsia="zh-CN"/>
        </w:rPr>
      </w:pPr>
      <w:r>
        <w:rPr>
          <w:rFonts w:hint="eastAsia" w:ascii="微软雅黑" w:hAnsi="微软雅黑" w:eastAsia="微软雅黑" w:cs="微软雅黑"/>
          <w:lang w:val="en-US" w:eastAsia="zh-CN"/>
        </w:rPr>
        <w:t>④</w:t>
      </w:r>
      <w:r>
        <w:rPr>
          <w:rFonts w:hint="eastAsia" w:ascii="仿宋_GB2312" w:hAnsi="仿宋_GB2312" w:cs="仿宋_GB2312"/>
          <w:lang w:val="en-US" w:eastAsia="zh-CN"/>
        </w:rPr>
        <w:t>撰写评价报告</w:t>
      </w:r>
    </w:p>
    <w:p w14:paraId="421132F4">
      <w:pPr>
        <w:keepNext w:val="0"/>
        <w:keepLines w:val="0"/>
        <w:widowControl/>
        <w:suppressLineNumbers w:val="0"/>
        <w:jc w:val="left"/>
        <w:rPr>
          <w:rFonts w:hint="eastAsia" w:ascii="仿宋_GB2312" w:hAnsi="仿宋_GB2312" w:cs="仿宋_GB2312"/>
          <w:lang w:val="en-US" w:eastAsia="zh-CN"/>
        </w:rPr>
      </w:pPr>
      <w:r>
        <w:rPr>
          <w:rFonts w:hint="eastAsia" w:ascii="仿宋_GB2312" w:hAnsi="仿宋_GB2312" w:cs="仿宋_GB2312"/>
          <w:lang w:val="en-US" w:eastAsia="zh-CN"/>
        </w:rPr>
        <w:t>主要依据标准化与规范化的输出要求。正式报告是评价工作的有形产物和交付物，其结构化格式确保了信息的完整性、可比性和可追溯性。</w:t>
      </w:r>
    </w:p>
    <w:p w14:paraId="31ECC72D">
      <w:pPr>
        <w:keepNext w:val="0"/>
        <w:keepLines w:val="0"/>
        <w:widowControl/>
        <w:suppressLineNumbers w:val="0"/>
        <w:jc w:val="left"/>
        <w:rPr>
          <w:rFonts w:hint="eastAsia" w:ascii="仿宋_GB2312" w:hAnsi="仿宋_GB2312" w:cs="仿宋_GB2312"/>
          <w:lang w:val="en-US" w:eastAsia="zh-CN"/>
        </w:rPr>
      </w:pPr>
      <w:r>
        <w:rPr>
          <w:rFonts w:hint="eastAsia" w:ascii="微软雅黑" w:hAnsi="微软雅黑" w:eastAsia="微软雅黑" w:cs="微软雅黑"/>
          <w:lang w:val="en-US" w:eastAsia="zh-CN"/>
        </w:rPr>
        <w:t>⑤</w:t>
      </w:r>
      <w:r>
        <w:rPr>
          <w:rFonts w:hint="eastAsia" w:ascii="仿宋_GB2312" w:hAnsi="仿宋_GB2312" w:cs="仿宋_GB2312"/>
          <w:lang w:val="en-US" w:eastAsia="zh-CN"/>
        </w:rPr>
        <w:t>评价反馈</w:t>
      </w:r>
    </w:p>
    <w:p w14:paraId="6FB4B3DB">
      <w:pPr>
        <w:keepNext w:val="0"/>
        <w:keepLines w:val="0"/>
        <w:widowControl/>
        <w:suppressLineNumbers w:val="0"/>
        <w:jc w:val="left"/>
        <w:rPr>
          <w:rFonts w:hint="eastAsia" w:ascii="仿宋_GB2312" w:hAnsi="仿宋_GB2312" w:cs="仿宋_GB2312"/>
          <w:lang w:val="en-US" w:eastAsia="zh-CN"/>
        </w:rPr>
      </w:pPr>
      <w:r>
        <w:rPr>
          <w:rFonts w:hint="eastAsia" w:ascii="仿宋_GB2312" w:hAnsi="仿宋_GB2312" w:cs="仿宋_GB2312"/>
          <w:lang w:val="en-US" w:eastAsia="zh-CN"/>
        </w:rPr>
        <w:t>将评价报告正式反馈至课程提供方及相关部门，供其改进与完善课程，评价方可视情况对改进成效进行跟踪或复查。</w:t>
      </w:r>
    </w:p>
    <w:p w14:paraId="7AAE8B18">
      <w:pPr>
        <w:keepNext w:val="0"/>
        <w:keepLines w:val="0"/>
        <w:widowControl/>
        <w:suppressLineNumbers w:val="0"/>
        <w:jc w:val="left"/>
        <w:rPr>
          <w:rFonts w:hint="default" w:ascii="仿宋_GB2312" w:hAnsi="仿宋_GB2312" w:cs="仿宋_GB2312"/>
          <w:lang w:val="en-US" w:eastAsia="zh-CN"/>
        </w:rPr>
      </w:pPr>
      <w:r>
        <w:rPr>
          <w:rFonts w:hint="eastAsia" w:ascii="仿宋_GB2312" w:hAnsi="仿宋_GB2312" w:cs="仿宋_GB2312"/>
          <w:lang w:val="en-US" w:eastAsia="zh-CN"/>
        </w:rPr>
        <w:t>主要依据评价的根本目的：持续改进。这直接体现了PDCA循环中的“C（检查）”与“A（处理）”环节。反馈是价值实现的起点，跟踪复查则构成了闭环，确保改进措施落地，是质量管理体系（如ISO 9001）的核心要求。</w:t>
      </w:r>
    </w:p>
    <w:p w14:paraId="703C1678">
      <w:pPr>
        <w:autoSpaceDE w:val="0"/>
        <w:autoSpaceDN w:val="0"/>
        <w:adjustRightInd w:val="0"/>
        <w:spacing w:before="156" w:beforeLines="50" w:after="156" w:afterLines="50" w:line="560" w:lineRule="exact"/>
        <w:ind w:firstLine="640"/>
        <w:jc w:val="left"/>
        <w:outlineLvl w:val="0"/>
        <w:rPr>
          <w:rFonts w:hint="eastAsia" w:ascii="仿宋_GB2312" w:hAnsi="黑体" w:cs="仿宋_GB2312"/>
          <w:szCs w:val="32"/>
        </w:rPr>
      </w:pPr>
      <w:r>
        <w:rPr>
          <w:rFonts w:hint="eastAsia" w:ascii="黑体" w:hAnsi="黑体" w:eastAsia="黑体" w:cs="仿宋_GB2312"/>
          <w:szCs w:val="32"/>
        </w:rPr>
        <w:t>六、</w:t>
      </w:r>
      <w:bookmarkEnd w:id="2"/>
      <w:r>
        <w:rPr>
          <w:rFonts w:hint="eastAsia" w:ascii="黑体" w:hAnsi="黑体" w:eastAsia="黑体" w:cs="仿宋_GB2312"/>
          <w:szCs w:val="32"/>
        </w:rPr>
        <w:t>重大分歧意见的处理经过和依据</w:t>
      </w:r>
    </w:p>
    <w:p w14:paraId="4C36DD2C">
      <w:pPr>
        <w:spacing w:line="560" w:lineRule="exact"/>
        <w:ind w:firstLine="640"/>
        <w:rPr>
          <w:rFonts w:hint="eastAsia" w:ascii="仿宋_GB2312" w:hAnsi="宋体"/>
          <w:szCs w:val="28"/>
        </w:rPr>
      </w:pPr>
      <w:r>
        <w:rPr>
          <w:rFonts w:hint="eastAsia" w:ascii="仿宋_GB2312" w:hAnsi="宋体"/>
          <w:szCs w:val="28"/>
        </w:rPr>
        <w:t>本标准研制过程中无重大分歧意见。</w:t>
      </w:r>
    </w:p>
    <w:p w14:paraId="6FCFCA42">
      <w:pPr>
        <w:autoSpaceDE w:val="0"/>
        <w:autoSpaceDN w:val="0"/>
        <w:adjustRightInd w:val="0"/>
        <w:spacing w:line="560" w:lineRule="exact"/>
        <w:ind w:firstLine="640"/>
        <w:jc w:val="left"/>
        <w:outlineLvl w:val="0"/>
        <w:rPr>
          <w:rFonts w:hint="eastAsia" w:ascii="仿宋_GB2312" w:hAnsi="黑体" w:cs="仿宋_GB2312"/>
          <w:szCs w:val="32"/>
        </w:rPr>
      </w:pPr>
      <w:r>
        <w:rPr>
          <w:rFonts w:hint="eastAsia" w:ascii="黑体" w:hAnsi="黑体" w:eastAsia="黑体" w:cs="仿宋_GB2312"/>
          <w:szCs w:val="32"/>
        </w:rPr>
        <w:t>七、实施标准的措施</w:t>
      </w:r>
    </w:p>
    <w:p w14:paraId="118F27B0">
      <w:pPr>
        <w:spacing w:line="560" w:lineRule="exact"/>
        <w:ind w:firstLine="643"/>
        <w:outlineLvl w:val="1"/>
        <w:rPr>
          <w:rFonts w:hint="eastAsia" w:ascii="仿宋_GB2312" w:hAnsi="宋体"/>
          <w:b/>
          <w:szCs w:val="28"/>
        </w:rPr>
      </w:pPr>
      <w:r>
        <w:rPr>
          <w:rFonts w:hint="eastAsia" w:ascii="仿宋_GB2312" w:hAnsi="宋体"/>
          <w:b/>
          <w:szCs w:val="28"/>
        </w:rPr>
        <w:t>（一）标准报批发布后，成立标准宣贯工作组</w:t>
      </w:r>
    </w:p>
    <w:p w14:paraId="3BF23905">
      <w:pPr>
        <w:spacing w:line="560" w:lineRule="exact"/>
        <w:ind w:firstLine="640"/>
        <w:rPr>
          <w:rFonts w:hint="eastAsia" w:ascii="仿宋_GB2312" w:hAnsi="宋体"/>
          <w:szCs w:val="28"/>
        </w:rPr>
      </w:pPr>
      <w:r>
        <w:rPr>
          <w:rFonts w:hint="eastAsia" w:ascii="仿宋_GB2312" w:hAnsi="宋体"/>
          <w:szCs w:val="28"/>
        </w:rPr>
        <w:t>本标准发布后，成立以主要起草人为成员的标准宣贯工作组，主要负责标准的宣贯实施培训计划制定、标准实施交流会策划、标准实施信息反馈收集和标准实施效果评估等工作，并根据标准实施信息反馈和标准实施效果评估情况，及时组织标准复审修订。</w:t>
      </w:r>
    </w:p>
    <w:p w14:paraId="5682437D">
      <w:pPr>
        <w:spacing w:line="560" w:lineRule="exact"/>
        <w:ind w:firstLine="643"/>
        <w:outlineLvl w:val="1"/>
        <w:rPr>
          <w:rFonts w:hint="eastAsia" w:ascii="仿宋_GB2312" w:hAnsi="宋体"/>
          <w:b/>
          <w:szCs w:val="28"/>
        </w:rPr>
      </w:pPr>
      <w:r>
        <w:rPr>
          <w:rFonts w:hint="eastAsia" w:ascii="仿宋_GB2312" w:hAnsi="宋体"/>
          <w:b/>
          <w:szCs w:val="28"/>
        </w:rPr>
        <w:t>（二）组织开展标准宣贯培训</w:t>
      </w:r>
    </w:p>
    <w:p w14:paraId="5E6407F9">
      <w:pPr>
        <w:spacing w:line="560" w:lineRule="exact"/>
        <w:ind w:firstLine="640"/>
        <w:rPr>
          <w:rFonts w:hint="eastAsia" w:ascii="仿宋_GB2312" w:hAnsi="宋体"/>
          <w:szCs w:val="28"/>
        </w:rPr>
      </w:pPr>
      <w:r>
        <w:rPr>
          <w:rFonts w:hint="eastAsia" w:ascii="仿宋_GB2312" w:hAnsi="宋体"/>
          <w:szCs w:val="28"/>
        </w:rPr>
        <w:t>标准发布实施后，标准宣贯工作小组制作标准解读宣贯培训PPT课件和标准核心技术明白书，并按标准宣贯培训计划深入各市县相关机构、单位开展标准宣贯培训，对标准进行逐条解读，让技术人员掌握标准核心内容，助力标准实施落地。</w:t>
      </w:r>
    </w:p>
    <w:p w14:paraId="3E92B512">
      <w:pPr>
        <w:spacing w:line="560" w:lineRule="exact"/>
        <w:ind w:firstLine="643"/>
        <w:outlineLvl w:val="1"/>
        <w:rPr>
          <w:rFonts w:hint="eastAsia" w:ascii="仿宋_GB2312" w:hAnsi="宋体"/>
          <w:b/>
          <w:szCs w:val="28"/>
        </w:rPr>
      </w:pPr>
      <w:r>
        <w:rPr>
          <w:rFonts w:hint="eastAsia" w:ascii="仿宋_GB2312" w:hAnsi="宋体"/>
          <w:b/>
          <w:szCs w:val="28"/>
        </w:rPr>
        <w:t>（三）开展标准实施交流会，收集标准实施反馈信息</w:t>
      </w:r>
    </w:p>
    <w:p w14:paraId="1D3956AC">
      <w:pPr>
        <w:spacing w:line="560" w:lineRule="exact"/>
        <w:ind w:firstLine="640"/>
        <w:rPr>
          <w:rFonts w:hint="eastAsia" w:ascii="仿宋_GB2312" w:hAnsi="宋体"/>
          <w:szCs w:val="28"/>
        </w:rPr>
      </w:pPr>
      <w:r>
        <w:rPr>
          <w:rFonts w:hint="eastAsia" w:ascii="仿宋_GB2312" w:hAnsi="宋体"/>
          <w:szCs w:val="28"/>
        </w:rPr>
        <w:t>标准起草小组深入各市县相关机构、单位组织技术人员召开标准实施交流会，听取标准实施过程中存在的问题并做好记录和解答，对存在的问题组织专家团队进行研讨，为标准的复审修订做准备。</w:t>
      </w:r>
    </w:p>
    <w:p w14:paraId="206D357A">
      <w:pPr>
        <w:spacing w:line="560" w:lineRule="exact"/>
        <w:ind w:firstLine="643"/>
        <w:outlineLvl w:val="1"/>
        <w:rPr>
          <w:rFonts w:hint="eastAsia" w:ascii="仿宋_GB2312" w:hAnsi="宋体"/>
          <w:b/>
          <w:szCs w:val="28"/>
        </w:rPr>
      </w:pPr>
      <w:r>
        <w:rPr>
          <w:rFonts w:hint="eastAsia" w:ascii="仿宋_GB2312" w:hAnsi="宋体"/>
          <w:b/>
          <w:szCs w:val="28"/>
        </w:rPr>
        <w:t>（四）开展标准实施效果评估</w:t>
      </w:r>
    </w:p>
    <w:p w14:paraId="18A95FA4">
      <w:pPr>
        <w:spacing w:line="560" w:lineRule="exact"/>
        <w:ind w:firstLine="640"/>
        <w:rPr>
          <w:rFonts w:hint="eastAsia" w:ascii="仿宋_GB2312" w:hAnsi="宋体"/>
          <w:szCs w:val="28"/>
        </w:rPr>
      </w:pPr>
      <w:r>
        <w:rPr>
          <w:rFonts w:hint="eastAsia" w:ascii="仿宋_GB2312" w:hAnsi="宋体"/>
          <w:szCs w:val="28"/>
        </w:rPr>
        <w:t>标准实施满2年，每年标准宣贯工作组采取网络调查、问卷调查、实地调研、召开座谈会或论证会、专家咨询等方式开展标准实施效果评估，并形成标准实施效果评估报告，为标准的复审修订做准备。</w:t>
      </w:r>
    </w:p>
    <w:p w14:paraId="34C6D3A5">
      <w:pPr>
        <w:autoSpaceDE w:val="0"/>
        <w:autoSpaceDN w:val="0"/>
        <w:adjustRightInd w:val="0"/>
        <w:spacing w:before="156" w:beforeLines="50" w:after="156" w:afterLines="50" w:line="560" w:lineRule="exact"/>
        <w:ind w:firstLine="640"/>
        <w:jc w:val="left"/>
        <w:outlineLvl w:val="0"/>
        <w:rPr>
          <w:rFonts w:hint="eastAsia" w:ascii="仿宋_GB2312" w:hAnsi="黑体" w:cs="仿宋_GB2312"/>
          <w:szCs w:val="32"/>
        </w:rPr>
      </w:pPr>
      <w:r>
        <w:rPr>
          <w:rFonts w:hint="eastAsia" w:ascii="黑体" w:hAnsi="黑体" w:eastAsia="黑体" w:cs="仿宋_GB2312"/>
          <w:szCs w:val="32"/>
        </w:rPr>
        <w:t>八、其他应当说明的事项</w:t>
      </w:r>
    </w:p>
    <w:p w14:paraId="4AB23C34">
      <w:pPr>
        <w:spacing w:line="560" w:lineRule="exact"/>
        <w:ind w:firstLine="640"/>
        <w:rPr>
          <w:rFonts w:hint="eastAsia" w:ascii="仿宋_GB2312" w:hAnsi="宋体"/>
          <w:szCs w:val="28"/>
        </w:rPr>
      </w:pPr>
      <w:r>
        <w:rPr>
          <w:rFonts w:hint="eastAsia" w:ascii="仿宋_GB2312" w:hAnsi="宋体"/>
          <w:szCs w:val="28"/>
        </w:rPr>
        <w:t>无。</w:t>
      </w:r>
    </w:p>
    <w:p w14:paraId="32BC79DF">
      <w:pPr>
        <w:spacing w:line="560" w:lineRule="exact"/>
        <w:ind w:firstLine="0" w:firstLineChars="0"/>
        <w:jc w:val="right"/>
        <w:rPr>
          <w:rFonts w:hint="eastAsia" w:ascii="仿宋_GB2312" w:hAnsi="仿宋"/>
          <w:bCs/>
          <w:color w:val="000000"/>
          <w:sz w:val="36"/>
          <w:szCs w:val="32"/>
        </w:rPr>
      </w:pPr>
    </w:p>
    <w:p w14:paraId="039C37D5">
      <w:pPr>
        <w:spacing w:line="560" w:lineRule="exact"/>
        <w:ind w:firstLine="0" w:firstLineChars="0"/>
        <w:jc w:val="right"/>
        <w:rPr>
          <w:rFonts w:hint="eastAsia" w:ascii="仿宋_GB2312" w:hAnsi="仿宋"/>
          <w:bCs/>
          <w:color w:val="000000"/>
          <w:sz w:val="36"/>
          <w:szCs w:val="32"/>
        </w:rPr>
      </w:pPr>
    </w:p>
    <w:p w14:paraId="1B16955D">
      <w:pPr>
        <w:spacing w:line="560" w:lineRule="exact"/>
        <w:ind w:right="1920" w:firstLine="0" w:firstLineChars="0"/>
        <w:jc w:val="right"/>
        <w:rPr>
          <w:rFonts w:hint="eastAsia" w:ascii="仿宋_GB2312" w:hAnsi="宋体"/>
          <w:color w:val="000000" w:themeColor="text1"/>
          <w:szCs w:val="28"/>
          <w14:textFill>
            <w14:solidFill>
              <w14:schemeClr w14:val="tx1"/>
            </w14:solidFill>
          </w14:textFill>
        </w:rPr>
      </w:pPr>
      <w:r>
        <w:rPr>
          <w:rFonts w:hint="eastAsia" w:ascii="仿宋_GB2312" w:hAnsi="宋体"/>
          <w:color w:val="000000" w:themeColor="text1"/>
          <w:szCs w:val="28"/>
          <w14:textFill>
            <w14:solidFill>
              <w14:schemeClr w14:val="tx1"/>
            </w14:solidFill>
          </w14:textFill>
        </w:rPr>
        <w:t>团体标准</w:t>
      </w:r>
    </w:p>
    <w:p w14:paraId="4C6CBFFD">
      <w:pPr>
        <w:spacing w:line="560" w:lineRule="exact"/>
        <w:ind w:firstLine="0" w:firstLineChars="0"/>
        <w:jc w:val="right"/>
        <w:rPr>
          <w:rFonts w:hint="eastAsia" w:ascii="仿宋_GB2312" w:hAnsi="宋体"/>
          <w:color w:val="000000" w:themeColor="text1"/>
          <w:szCs w:val="28"/>
          <w14:textFill>
            <w14:solidFill>
              <w14:schemeClr w14:val="tx1"/>
            </w14:solidFill>
          </w14:textFill>
        </w:rPr>
      </w:pPr>
      <w:r>
        <w:rPr>
          <w:rFonts w:hint="eastAsia" w:ascii="仿宋_GB2312" w:hAnsi="宋体"/>
          <w:color w:val="000000" w:themeColor="text1"/>
          <w:szCs w:val="28"/>
          <w14:textFill>
            <w14:solidFill>
              <w14:schemeClr w14:val="tx1"/>
            </w14:solidFill>
          </w14:textFill>
        </w:rPr>
        <w:t>《</w:t>
      </w:r>
      <w:r>
        <w:rPr>
          <w:rFonts w:hint="eastAsia" w:ascii="仿宋_GB2312" w:hAnsi="宋体"/>
          <w:color w:val="000000" w:themeColor="text1"/>
          <w:szCs w:val="28"/>
          <w:lang w:eastAsia="zh-CN"/>
          <w14:textFill>
            <w14:solidFill>
              <w14:schemeClr w14:val="tx1"/>
            </w14:solidFill>
          </w14:textFill>
        </w:rPr>
        <w:t>农业科普研学课程设计评价规范</w:t>
      </w:r>
      <w:r>
        <w:rPr>
          <w:rFonts w:hint="eastAsia" w:ascii="仿宋_GB2312" w:hAnsi="宋体"/>
          <w:color w:val="000000" w:themeColor="text1"/>
          <w:szCs w:val="28"/>
          <w14:textFill>
            <w14:solidFill>
              <w14:schemeClr w14:val="tx1"/>
            </w14:solidFill>
          </w14:textFill>
        </w:rPr>
        <w:t>》</w:t>
      </w:r>
    </w:p>
    <w:p w14:paraId="030E3763">
      <w:pPr>
        <w:spacing w:line="560" w:lineRule="exact"/>
        <w:ind w:right="1600" w:firstLine="0" w:firstLineChars="0"/>
        <w:jc w:val="right"/>
        <w:rPr>
          <w:rFonts w:hint="eastAsia" w:ascii="仿宋_GB2312" w:hAnsi="宋体"/>
          <w:color w:val="000000" w:themeColor="text1"/>
          <w:szCs w:val="28"/>
          <w14:textFill>
            <w14:solidFill>
              <w14:schemeClr w14:val="tx1"/>
            </w14:solidFill>
          </w14:textFill>
        </w:rPr>
      </w:pPr>
      <w:r>
        <w:rPr>
          <w:rFonts w:hint="eastAsia" w:ascii="仿宋_GB2312" w:hAnsi="宋体"/>
          <w:color w:val="000000" w:themeColor="text1"/>
          <w:szCs w:val="28"/>
          <w14:textFill>
            <w14:solidFill>
              <w14:schemeClr w14:val="tx1"/>
            </w14:solidFill>
          </w14:textFill>
        </w:rPr>
        <w:t>标准编制组</w:t>
      </w:r>
    </w:p>
    <w:p w14:paraId="536F88B6">
      <w:pPr>
        <w:spacing w:line="560" w:lineRule="exact"/>
        <w:ind w:right="960" w:firstLine="0" w:firstLineChars="0"/>
        <w:jc w:val="right"/>
        <w:rPr>
          <w:rFonts w:hint="eastAsia" w:ascii="仿宋_GB2312" w:hAnsi="宋体"/>
          <w:color w:val="000000" w:themeColor="text1"/>
          <w:szCs w:val="28"/>
          <w14:textFill>
            <w14:solidFill>
              <w14:schemeClr w14:val="tx1"/>
            </w14:solidFill>
          </w14:textFill>
        </w:rPr>
      </w:pPr>
      <w:r>
        <w:rPr>
          <w:rFonts w:hint="eastAsia" w:ascii="仿宋_GB2312" w:hAnsi="宋体"/>
          <w:color w:val="000000" w:themeColor="text1"/>
          <w:szCs w:val="28"/>
          <w14:textFill>
            <w14:solidFill>
              <w14:schemeClr w14:val="tx1"/>
            </w14:solidFill>
          </w14:textFill>
        </w:rPr>
        <w:t>2025年1</w:t>
      </w:r>
      <w:r>
        <w:rPr>
          <w:rFonts w:hint="eastAsia" w:ascii="仿宋_GB2312" w:hAnsi="宋体"/>
          <w:color w:val="000000" w:themeColor="text1"/>
          <w:szCs w:val="28"/>
          <w:lang w:val="en-US" w:eastAsia="zh-CN"/>
          <w14:textFill>
            <w14:solidFill>
              <w14:schemeClr w14:val="tx1"/>
            </w14:solidFill>
          </w14:textFill>
        </w:rPr>
        <w:t>2</w:t>
      </w:r>
      <w:r>
        <w:rPr>
          <w:rFonts w:hint="eastAsia" w:ascii="仿宋_GB2312" w:hAnsi="宋体"/>
          <w:color w:val="000000" w:themeColor="text1"/>
          <w:szCs w:val="28"/>
          <w14:textFill>
            <w14:solidFill>
              <w14:schemeClr w14:val="tx1"/>
            </w14:solidFill>
          </w14:textFill>
        </w:rPr>
        <w:t>月</w:t>
      </w:r>
      <w:r>
        <w:rPr>
          <w:rFonts w:hint="eastAsia" w:ascii="仿宋_GB2312" w:hAnsi="宋体"/>
          <w:color w:val="000000" w:themeColor="text1"/>
          <w:szCs w:val="28"/>
          <w:lang w:val="en-US" w:eastAsia="zh-CN"/>
          <w14:textFill>
            <w14:solidFill>
              <w14:schemeClr w14:val="tx1"/>
            </w14:solidFill>
          </w14:textFill>
        </w:rPr>
        <w:t>15</w:t>
      </w:r>
      <w:r>
        <w:rPr>
          <w:rFonts w:hint="eastAsia" w:ascii="仿宋_GB2312" w:hAnsi="宋体"/>
          <w:color w:val="000000" w:themeColor="text1"/>
          <w:szCs w:val="28"/>
          <w14:textFill>
            <w14:solidFill>
              <w14:schemeClr w14:val="tx1"/>
            </w14:solidFill>
          </w14:textFill>
        </w:rPr>
        <w:t>日</w:t>
      </w:r>
    </w:p>
    <w:sectPr>
      <w:headerReference r:id="rId6" w:type="default"/>
      <w:footerReference r:id="rId7" w:type="default"/>
      <w:pgSz w:w="11906" w:h="16838"/>
      <w:pgMar w:top="1474" w:right="1474" w:bottom="1474" w:left="1474"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ind w:firstLine="640"/>
      </w:pPr>
      <w:r>
        <w:separator/>
      </w:r>
    </w:p>
  </w:endnote>
  <w:endnote w:type="continuationSeparator" w:id="1">
    <w:p>
      <w:pPr>
        <w:ind w:firstLine="64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仿宋_GB2312">
    <w:panose1 w:val="02010609030101010101"/>
    <w:charset w:val="86"/>
    <w:family w:val="auto"/>
    <w:pitch w:val="default"/>
    <w:sig w:usb0="00000001" w:usb1="080E0000" w:usb2="00000000" w:usb3="00000000" w:csb0="00040000" w:csb1="00000000"/>
  </w:font>
  <w:font w:name="方正仿宋_GB2312">
    <w:altName w:val="仿宋"/>
    <w:panose1 w:val="02000000000000000000"/>
    <w:charset w:val="86"/>
    <w:family w:val="auto"/>
    <w:pitch w:val="default"/>
    <w:sig w:usb0="00000000" w:usb1="00000000" w:usb2="00000012" w:usb3="00000000" w:csb0="00040001" w:csb1="00000000"/>
  </w:font>
  <w:font w:name="仿宋">
    <w:panose1 w:val="02010609060101010101"/>
    <w:charset w:val="86"/>
    <w:family w:val="auto"/>
    <w:pitch w:val="default"/>
    <w:sig w:usb0="800002BF" w:usb1="38CF7CFA" w:usb2="00000016" w:usb3="00000000" w:csb0="00040001" w:csb1="00000000"/>
  </w:font>
  <w:font w:name="方正小标宋简体">
    <w:panose1 w:val="03000509000000000000"/>
    <w:charset w:val="86"/>
    <w:family w:val="script"/>
    <w:pitch w:val="default"/>
    <w:sig w:usb0="00000001" w:usb1="080E0000" w:usb2="00000000" w:usb3="00000000" w:csb0="00040000" w:csb1="00000000"/>
  </w:font>
  <w:font w:name="楷体">
    <w:panose1 w:val="02010609060101010101"/>
    <w:charset w:val="86"/>
    <w:family w:val="modern"/>
    <w:pitch w:val="default"/>
    <w:sig w:usb0="800002BF" w:usb1="38CF7CFA" w:usb2="00000016" w:usb3="00000000" w:csb0="00040001" w:csb1="00000000"/>
  </w:font>
  <w:font w:name="微软雅黑">
    <w:panose1 w:val="020B0503020204020204"/>
    <w:charset w:val="86"/>
    <w:family w:val="auto"/>
    <w:pitch w:val="default"/>
    <w:sig w:usb0="80000287" w:usb1="2ACF3C50" w:usb2="00000016" w:usb3="00000000" w:csb0="0004001F" w:csb1="00000000"/>
  </w:font>
  <w:font w:name="Segoe UI">
    <w:panose1 w:val="020B0502040204020203"/>
    <w:charset w:val="00"/>
    <w:family w:val="auto"/>
    <w:pitch w:val="default"/>
    <w:sig w:usb0="E4002EFF" w:usb1="C000E47F" w:usb2="00000009" w:usb3="00000000" w:csb0="2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386C195">
    <w:pPr>
      <w:spacing w:line="169" w:lineRule="auto"/>
      <w:ind w:left="4084"/>
      <w:rPr>
        <w:rFonts w:ascii="Calibri" w:hAnsi="Calibri" w:eastAsia="Calibri" w:cs="Calibri"/>
        <w:sz w:val="18"/>
        <w:szCs w:val="18"/>
      </w:rPr>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79" name="文本框 17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FF5F032">
                          <w:pPr>
                            <w:pStyle w:val="6"/>
                          </w:pPr>
                          <w:r>
                            <w:fldChar w:fldCharType="begin"/>
                          </w:r>
                          <w:r>
                            <w:instrText xml:space="preserve"> PAGE  \* MERGEFORMAT </w:instrText>
                          </w:r>
                          <w:r>
                            <w:fldChar w:fldCharType="separate"/>
                          </w:r>
                          <w:r>
                            <w:t>29</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BWVCBFNAIAAGUEAAAOAAAAAAAAAAEAIAAAAB8BAABkcnMvZTJvRG9jLnhtbFBL&#10;BQYAAAAABgAGAFkBAADFBQAAAAA=&#10;">
              <v:fill on="f" focussize="0,0"/>
              <v:stroke on="f" weight="0.5pt"/>
              <v:imagedata o:title=""/>
              <o:lock v:ext="edit" aspectratio="f"/>
              <v:textbox inset="0mm,0mm,0mm,0mm" style="mso-fit-shape-to-text:t;">
                <w:txbxContent>
                  <w:p w14:paraId="0FF5F032">
                    <w:pPr>
                      <w:pStyle w:val="6"/>
                    </w:pPr>
                    <w:r>
                      <w:fldChar w:fldCharType="begin"/>
                    </w:r>
                    <w:r>
                      <w:instrText xml:space="preserve"> PAGE  \* MERGEFORMAT </w:instrText>
                    </w:r>
                    <w:r>
                      <w:fldChar w:fldCharType="separate"/>
                    </w:r>
                    <w:r>
                      <w:t>29</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6D96B64">
    <w:pPr>
      <w:pStyle w:val="6"/>
      <w:ind w:firstLine="360"/>
      <w:jc w:val="center"/>
    </w:pPr>
    <w:r>
      <w:fldChar w:fldCharType="begin"/>
    </w:r>
    <w:r>
      <w:instrText xml:space="preserve">PAGE   \* MERGEFORMAT</w:instrText>
    </w:r>
    <w:r>
      <w:fldChar w:fldCharType="separate"/>
    </w:r>
    <w:r>
      <w:rPr>
        <w:lang w:val="zh-CN"/>
      </w:rPr>
      <w:t>24</w:t>
    </w:r>
    <w:r>
      <w:fldChar w:fldCharType="end"/>
    </w:r>
  </w:p>
  <w:p w14:paraId="5DF98F54">
    <w:pPr>
      <w:pStyle w:val="6"/>
      <w:ind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ind w:firstLine="640"/>
      </w:pPr>
      <w:r>
        <w:separator/>
      </w:r>
    </w:p>
  </w:footnote>
  <w:footnote w:type="continuationSeparator" w:id="1">
    <w:p>
      <w:pPr>
        <w:ind w:firstLine="64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3FF6C23">
    <w:pPr>
      <w:ind w:left="640" w:firstLine="0" w:firstLineChars="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0000001"/>
    <w:multiLevelType w:val="multilevel"/>
    <w:tmpl w:val="00000001"/>
    <w:lvl w:ilvl="0" w:tentative="0">
      <w:start w:val="1"/>
      <w:numFmt w:val="decimal"/>
      <w:pStyle w:val="26"/>
      <w:suff w:val="nothing"/>
      <w:lvlText w:val="注%1："/>
      <w:lvlJc w:val="left"/>
      <w:pPr>
        <w:ind w:left="811" w:hanging="448"/>
      </w:pPr>
      <w:rPr>
        <w:rFonts w:hint="eastAsia" w:ascii="黑体" w:eastAsia="黑体"/>
        <w:b w:val="0"/>
        <w:i w:val="0"/>
        <w:sz w:val="18"/>
        <w:lang w:val="en-US"/>
      </w:rPr>
    </w:lvl>
    <w:lvl w:ilvl="1" w:tentative="0">
      <w:start w:val="1"/>
      <w:numFmt w:val="lowerLetter"/>
      <w:lvlText w:val="%2)"/>
      <w:lvlJc w:val="left"/>
      <w:pPr>
        <w:tabs>
          <w:tab w:val="left" w:pos="0"/>
        </w:tabs>
        <w:ind w:left="992" w:hanging="629"/>
      </w:pPr>
      <w:rPr>
        <w:rFonts w:hint="eastAsia"/>
      </w:rPr>
    </w:lvl>
    <w:lvl w:ilvl="2" w:tentative="0">
      <w:start w:val="1"/>
      <w:numFmt w:val="lowerRoman"/>
      <w:lvlText w:val="%3."/>
      <w:lvlJc w:val="right"/>
      <w:pPr>
        <w:tabs>
          <w:tab w:val="left" w:pos="0"/>
        </w:tabs>
        <w:ind w:left="992" w:hanging="629"/>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1">
    <w:nsid w:val="00000002"/>
    <w:multiLevelType w:val="multilevel"/>
    <w:tmpl w:val="00000002"/>
    <w:lvl w:ilvl="0" w:tentative="0">
      <w:start w:val="1"/>
      <w:numFmt w:val="lowerLetter"/>
      <w:pStyle w:val="30"/>
      <w:suff w:val="nothing"/>
      <w:lvlText w:val="%1   "/>
      <w:lvlJc w:val="left"/>
      <w:pPr>
        <w:ind w:left="544" w:hanging="181"/>
      </w:pPr>
      <w:rPr>
        <w:rFonts w:hint="eastAsia" w:ascii="宋体" w:hAnsi="宋体" w:eastAsia="宋体"/>
        <w:b w:val="0"/>
        <w:i w:val="0"/>
        <w:sz w:val="18"/>
        <w:vertAlign w:val="superscript"/>
      </w:rPr>
    </w:lvl>
    <w:lvl w:ilvl="1" w:tentative="0">
      <w:start w:val="1"/>
      <w:numFmt w:val="lowerLetter"/>
      <w:lvlText w:val="%2"/>
      <w:lvlJc w:val="left"/>
      <w:pPr>
        <w:tabs>
          <w:tab w:val="left" w:pos="57"/>
        </w:tabs>
        <w:ind w:left="363" w:hanging="363"/>
      </w:pPr>
      <w:rPr>
        <w:rFonts w:hint="eastAsia"/>
      </w:rPr>
    </w:lvl>
    <w:lvl w:ilvl="2" w:tentative="0">
      <w:start w:val="1"/>
      <w:numFmt w:val="lowerRoman"/>
      <w:lvlText w:val="%3."/>
      <w:lvlJc w:val="right"/>
      <w:pPr>
        <w:tabs>
          <w:tab w:val="left" w:pos="57"/>
        </w:tabs>
        <w:ind w:left="363" w:hanging="363"/>
      </w:pPr>
      <w:rPr>
        <w:rFonts w:hint="eastAsia"/>
      </w:rPr>
    </w:lvl>
    <w:lvl w:ilvl="3" w:tentative="0">
      <w:start w:val="1"/>
      <w:numFmt w:val="decimal"/>
      <w:lvlText w:val="%4."/>
      <w:lvlJc w:val="left"/>
      <w:pPr>
        <w:tabs>
          <w:tab w:val="left" w:pos="57"/>
        </w:tabs>
        <w:ind w:left="363" w:hanging="363"/>
      </w:pPr>
      <w:rPr>
        <w:rFonts w:hint="eastAsia"/>
      </w:rPr>
    </w:lvl>
    <w:lvl w:ilvl="4" w:tentative="0">
      <w:start w:val="1"/>
      <w:numFmt w:val="lowerLetter"/>
      <w:lvlText w:val="%5)"/>
      <w:lvlJc w:val="left"/>
      <w:pPr>
        <w:tabs>
          <w:tab w:val="left" w:pos="57"/>
        </w:tabs>
        <w:ind w:left="363" w:hanging="363"/>
      </w:pPr>
      <w:rPr>
        <w:rFonts w:hint="eastAsia"/>
      </w:rPr>
    </w:lvl>
    <w:lvl w:ilvl="5" w:tentative="0">
      <w:start w:val="1"/>
      <w:numFmt w:val="lowerRoman"/>
      <w:lvlText w:val="%6."/>
      <w:lvlJc w:val="right"/>
      <w:pPr>
        <w:tabs>
          <w:tab w:val="left" w:pos="57"/>
        </w:tabs>
        <w:ind w:left="363" w:hanging="363"/>
      </w:pPr>
      <w:rPr>
        <w:rFonts w:hint="eastAsia"/>
      </w:rPr>
    </w:lvl>
    <w:lvl w:ilvl="6" w:tentative="0">
      <w:start w:val="1"/>
      <w:numFmt w:val="decimal"/>
      <w:lvlText w:val="%7."/>
      <w:lvlJc w:val="left"/>
      <w:pPr>
        <w:tabs>
          <w:tab w:val="left" w:pos="57"/>
        </w:tabs>
        <w:ind w:left="363" w:hanging="363"/>
      </w:pPr>
      <w:rPr>
        <w:rFonts w:hint="eastAsia"/>
      </w:rPr>
    </w:lvl>
    <w:lvl w:ilvl="7" w:tentative="0">
      <w:start w:val="1"/>
      <w:numFmt w:val="lowerLetter"/>
      <w:lvlText w:val="%8)"/>
      <w:lvlJc w:val="left"/>
      <w:pPr>
        <w:tabs>
          <w:tab w:val="left" w:pos="57"/>
        </w:tabs>
        <w:ind w:left="363" w:hanging="363"/>
      </w:pPr>
      <w:rPr>
        <w:rFonts w:hint="eastAsia"/>
      </w:rPr>
    </w:lvl>
    <w:lvl w:ilvl="8" w:tentative="0">
      <w:start w:val="1"/>
      <w:numFmt w:val="lowerRoman"/>
      <w:lvlText w:val="%9."/>
      <w:lvlJc w:val="right"/>
      <w:pPr>
        <w:tabs>
          <w:tab w:val="left" w:pos="57"/>
        </w:tabs>
        <w:ind w:left="363" w:hanging="363"/>
      </w:pPr>
      <w:rPr>
        <w:rFonts w:hint="eastAsia"/>
      </w:rPr>
    </w:lvl>
  </w:abstractNum>
  <w:abstractNum w:abstractNumId="2">
    <w:nsid w:val="00000003"/>
    <w:multiLevelType w:val="multilevel"/>
    <w:tmpl w:val="00000003"/>
    <w:lvl w:ilvl="0" w:tentative="0">
      <w:start w:val="1"/>
      <w:numFmt w:val="decimal"/>
      <w:pStyle w:val="29"/>
      <w:suff w:val="nothing"/>
      <w:lvlText w:val="注%1："/>
      <w:lvlJc w:val="left"/>
      <w:pPr>
        <w:ind w:left="811" w:hanging="448"/>
      </w:pPr>
      <w:rPr>
        <w:rFonts w:hint="eastAsia" w:ascii="黑体" w:eastAsia="黑体"/>
        <w:b w:val="0"/>
        <w:i w:val="0"/>
        <w:sz w:val="18"/>
        <w:szCs w:val="18"/>
        <w:vertAlign w:val="baseline"/>
      </w:rPr>
    </w:lvl>
    <w:lvl w:ilvl="1" w:tentative="0">
      <w:start w:val="1"/>
      <w:numFmt w:val="lowerLetter"/>
      <w:lvlText w:val="%2)"/>
      <w:lvlJc w:val="left"/>
      <w:pPr>
        <w:tabs>
          <w:tab w:val="left" w:pos="180"/>
        </w:tabs>
        <w:ind w:left="1172" w:hanging="629"/>
      </w:pPr>
      <w:rPr>
        <w:rFonts w:hint="eastAsia"/>
        <w:vertAlign w:val="baseline"/>
      </w:rPr>
    </w:lvl>
    <w:lvl w:ilvl="2" w:tentative="0">
      <w:start w:val="1"/>
      <w:numFmt w:val="lowerRoman"/>
      <w:lvlText w:val="%3."/>
      <w:lvlJc w:val="right"/>
      <w:pPr>
        <w:tabs>
          <w:tab w:val="left" w:pos="180"/>
        </w:tabs>
        <w:ind w:left="1172" w:hanging="629"/>
      </w:pPr>
      <w:rPr>
        <w:rFonts w:hint="eastAsia"/>
        <w:vertAlign w:val="baseline"/>
      </w:rPr>
    </w:lvl>
    <w:lvl w:ilvl="3" w:tentative="0">
      <w:start w:val="1"/>
      <w:numFmt w:val="decimal"/>
      <w:lvlText w:val="%4."/>
      <w:lvlJc w:val="left"/>
      <w:pPr>
        <w:tabs>
          <w:tab w:val="left" w:pos="180"/>
        </w:tabs>
        <w:ind w:left="1172" w:hanging="629"/>
      </w:pPr>
      <w:rPr>
        <w:rFonts w:hint="eastAsia"/>
        <w:vertAlign w:val="baseline"/>
      </w:rPr>
    </w:lvl>
    <w:lvl w:ilvl="4" w:tentative="0">
      <w:start w:val="1"/>
      <w:numFmt w:val="lowerLetter"/>
      <w:lvlText w:val="%5)"/>
      <w:lvlJc w:val="left"/>
      <w:pPr>
        <w:tabs>
          <w:tab w:val="left" w:pos="180"/>
        </w:tabs>
        <w:ind w:left="1172" w:hanging="629"/>
      </w:pPr>
      <w:rPr>
        <w:rFonts w:hint="eastAsia"/>
        <w:vertAlign w:val="baseline"/>
      </w:rPr>
    </w:lvl>
    <w:lvl w:ilvl="5" w:tentative="0">
      <w:start w:val="1"/>
      <w:numFmt w:val="lowerRoman"/>
      <w:lvlText w:val="%6."/>
      <w:lvlJc w:val="right"/>
      <w:pPr>
        <w:tabs>
          <w:tab w:val="left" w:pos="180"/>
        </w:tabs>
        <w:ind w:left="1172" w:hanging="629"/>
      </w:pPr>
      <w:rPr>
        <w:rFonts w:hint="eastAsia"/>
        <w:vertAlign w:val="baseline"/>
      </w:rPr>
    </w:lvl>
    <w:lvl w:ilvl="6" w:tentative="0">
      <w:start w:val="1"/>
      <w:numFmt w:val="decimal"/>
      <w:lvlText w:val="%7."/>
      <w:lvlJc w:val="left"/>
      <w:pPr>
        <w:tabs>
          <w:tab w:val="left" w:pos="180"/>
        </w:tabs>
        <w:ind w:left="1172" w:hanging="629"/>
      </w:pPr>
      <w:rPr>
        <w:rFonts w:hint="eastAsia"/>
        <w:vertAlign w:val="baseline"/>
      </w:rPr>
    </w:lvl>
    <w:lvl w:ilvl="7" w:tentative="0">
      <w:start w:val="1"/>
      <w:numFmt w:val="lowerLetter"/>
      <w:lvlText w:val="%8)"/>
      <w:lvlJc w:val="left"/>
      <w:pPr>
        <w:tabs>
          <w:tab w:val="left" w:pos="180"/>
        </w:tabs>
        <w:ind w:left="1172" w:hanging="629"/>
      </w:pPr>
      <w:rPr>
        <w:rFonts w:hint="eastAsia"/>
        <w:vertAlign w:val="baseline"/>
      </w:rPr>
    </w:lvl>
    <w:lvl w:ilvl="8" w:tentative="0">
      <w:start w:val="1"/>
      <w:numFmt w:val="lowerRoman"/>
      <w:lvlText w:val="%9."/>
      <w:lvlJc w:val="right"/>
      <w:pPr>
        <w:tabs>
          <w:tab w:val="left" w:pos="180"/>
        </w:tabs>
        <w:ind w:left="1172" w:hanging="629"/>
      </w:pPr>
      <w:rPr>
        <w:rFonts w:hint="eastAsia"/>
        <w:vertAlign w:val="baseline"/>
      </w:rPr>
    </w:lvl>
  </w:abstractNum>
  <w:abstractNum w:abstractNumId="3">
    <w:nsid w:val="00000004"/>
    <w:multiLevelType w:val="multilevel"/>
    <w:tmpl w:val="00000004"/>
    <w:lvl w:ilvl="0" w:tentative="0">
      <w:start w:val="1"/>
      <w:numFmt w:val="decimal"/>
      <w:pStyle w:val="21"/>
      <w:suff w:val="nothing"/>
      <w:lvlText w:val="%1　"/>
      <w:lvlJc w:val="left"/>
      <w:pPr>
        <w:ind w:left="0" w:firstLine="0"/>
      </w:pPr>
      <w:rPr>
        <w:rFonts w:hint="eastAsia" w:ascii="黑体" w:hAnsi="Times New Roman" w:eastAsia="黑体"/>
        <w:b w:val="0"/>
        <w:i w:val="0"/>
        <w:sz w:val="21"/>
        <w:szCs w:val="21"/>
      </w:rPr>
    </w:lvl>
    <w:lvl w:ilvl="1" w:tentative="0">
      <w:start w:val="1"/>
      <w:numFmt w:val="decimal"/>
      <w:pStyle w:val="20"/>
      <w:suff w:val="nothing"/>
      <w:lvlText w:val="%1.%2　"/>
      <w:lvlJc w:val="left"/>
      <w:pPr>
        <w:ind w:left="525" w:firstLine="0"/>
      </w:pPr>
      <w:rPr>
        <w:rFonts w:hint="eastAsia" w:ascii="黑体" w:hAnsi="Times New Roman" w:eastAsia="黑体" w:cs="Times New Roman"/>
        <w:b w:val="0"/>
        <w:bCs w:val="0"/>
        <w:i w:val="0"/>
        <w:iCs w:val="0"/>
        <w:caps w:val="0"/>
        <w:vanish w:val="0"/>
        <w:color w:val="000000"/>
        <w:spacing w:val="0"/>
        <w:kern w:val="0"/>
        <w:position w:val="0"/>
        <w:sz w:val="21"/>
        <w:szCs w:val="21"/>
        <w:u w:val="none"/>
        <w:vertAlign w:val="baseline"/>
        <w14:shadow w14:blurRad="0" w14:dist="0" w14:dir="0" w14:sx="0" w14:sy="0" w14:kx="0" w14:ky="0" w14:algn="none">
          <w14:srgbClr w14:val="000000"/>
        </w14:shadow>
      </w:rPr>
    </w:lvl>
    <w:lvl w:ilvl="2" w:tentative="0">
      <w:start w:val="1"/>
      <w:numFmt w:val="decimal"/>
      <w:suff w:val="nothing"/>
      <w:lvlText w:val="%1.%2.%3　"/>
      <w:lvlJc w:val="left"/>
      <w:pPr>
        <w:ind w:left="0" w:firstLine="0"/>
      </w:pPr>
      <w:rPr>
        <w:rFonts w:hint="eastAsia" w:ascii="黑体" w:hAnsi="Times New Roman" w:eastAsia="黑体"/>
        <w:b w:val="0"/>
        <w:i w:val="0"/>
        <w:sz w:val="21"/>
      </w:rPr>
    </w:lvl>
    <w:lvl w:ilvl="3" w:tentative="0">
      <w:start w:val="1"/>
      <w:numFmt w:val="decimal"/>
      <w:suff w:val="nothing"/>
      <w:lvlText w:val="%1.%2.%3.%4　"/>
      <w:lvlJc w:val="left"/>
      <w:pPr>
        <w:ind w:left="0" w:firstLine="0"/>
      </w:pPr>
      <w:rPr>
        <w:rFonts w:hint="eastAsia" w:ascii="黑体" w:hAnsi="Times New Roman" w:eastAsia="黑体"/>
        <w:b w:val="0"/>
        <w:i w:val="0"/>
        <w:sz w:val="21"/>
      </w:rPr>
    </w:lvl>
    <w:lvl w:ilvl="4" w:tentative="0">
      <w:start w:val="1"/>
      <w:numFmt w:val="decimal"/>
      <w:suff w:val="nothing"/>
      <w:lvlText w:val="%1.%2.%3.%4.%5　"/>
      <w:lvlJc w:val="left"/>
      <w:pPr>
        <w:ind w:left="0" w:firstLine="0"/>
      </w:pPr>
      <w:rPr>
        <w:rFonts w:hint="eastAsia" w:ascii="黑体" w:hAnsi="Times New Roman" w:eastAsia="黑体"/>
        <w:b w:val="0"/>
        <w:i w:val="0"/>
        <w:sz w:val="21"/>
      </w:rPr>
    </w:lvl>
    <w:lvl w:ilvl="5" w:tentative="0">
      <w:start w:val="1"/>
      <w:numFmt w:val="decimal"/>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4">
    <w:nsid w:val="00000006"/>
    <w:multiLevelType w:val="multilevel"/>
    <w:tmpl w:val="00000006"/>
    <w:lvl w:ilvl="0" w:tentative="0">
      <w:start w:val="1"/>
      <w:numFmt w:val="upperLetter"/>
      <w:pStyle w:val="27"/>
      <w:suff w:val="space"/>
      <w:lvlText w:val="%1"/>
      <w:lvlJc w:val="left"/>
      <w:pPr>
        <w:ind w:left="623" w:hanging="425"/>
      </w:pPr>
      <w:rPr>
        <w:rFonts w:hint="eastAsia"/>
      </w:rPr>
    </w:lvl>
    <w:lvl w:ilvl="1" w:tentative="0">
      <w:start w:val="1"/>
      <w:numFmt w:val="decimal"/>
      <w:pStyle w:val="28"/>
      <w:suff w:val="nothing"/>
      <w:lvlText w:val="图%1.%2　"/>
      <w:lvlJc w:val="left"/>
      <w:pPr>
        <w:ind w:left="1190" w:hanging="567"/>
      </w:pPr>
      <w:rPr>
        <w:rFonts w:hint="eastAsia"/>
      </w:rPr>
    </w:lvl>
    <w:lvl w:ilvl="2" w:tentative="0">
      <w:start w:val="1"/>
      <w:numFmt w:val="decimal"/>
      <w:lvlText w:val="%1.%2.%3"/>
      <w:lvlJc w:val="left"/>
      <w:pPr>
        <w:tabs>
          <w:tab w:val="left" w:pos="1616"/>
        </w:tabs>
        <w:ind w:left="1616" w:hanging="567"/>
      </w:pPr>
      <w:rPr>
        <w:rFonts w:hint="eastAsia"/>
      </w:rPr>
    </w:lvl>
    <w:lvl w:ilvl="3" w:tentative="0">
      <w:start w:val="1"/>
      <w:numFmt w:val="decimal"/>
      <w:lvlText w:val="%1.%2.%3.%4"/>
      <w:lvlJc w:val="left"/>
      <w:pPr>
        <w:tabs>
          <w:tab w:val="left" w:pos="2914"/>
        </w:tabs>
        <w:ind w:left="2182" w:hanging="708"/>
      </w:pPr>
      <w:rPr>
        <w:rFonts w:hint="eastAsia"/>
      </w:rPr>
    </w:lvl>
    <w:lvl w:ilvl="4" w:tentative="0">
      <w:start w:val="1"/>
      <w:numFmt w:val="decimal"/>
      <w:lvlText w:val="%1.%2.%3.%4.%5"/>
      <w:lvlJc w:val="left"/>
      <w:pPr>
        <w:tabs>
          <w:tab w:val="left" w:pos="3699"/>
        </w:tabs>
        <w:ind w:left="2749" w:hanging="850"/>
      </w:pPr>
      <w:rPr>
        <w:rFonts w:hint="eastAsia"/>
      </w:rPr>
    </w:lvl>
    <w:lvl w:ilvl="5" w:tentative="0">
      <w:start w:val="1"/>
      <w:numFmt w:val="decimal"/>
      <w:lvlText w:val="%1.%2.%3.%4.%5.%6"/>
      <w:lvlJc w:val="left"/>
      <w:pPr>
        <w:tabs>
          <w:tab w:val="left" w:pos="4484"/>
        </w:tabs>
        <w:ind w:left="3458" w:hanging="1134"/>
      </w:pPr>
      <w:rPr>
        <w:rFonts w:hint="eastAsia"/>
      </w:rPr>
    </w:lvl>
    <w:lvl w:ilvl="6" w:tentative="0">
      <w:start w:val="1"/>
      <w:numFmt w:val="decimal"/>
      <w:lvlText w:val="%1.%2.%3.%4.%5.%6.%7"/>
      <w:lvlJc w:val="left"/>
      <w:pPr>
        <w:tabs>
          <w:tab w:val="left" w:pos="5269"/>
        </w:tabs>
        <w:ind w:left="4025" w:hanging="1276"/>
      </w:pPr>
      <w:rPr>
        <w:rFonts w:hint="eastAsia"/>
      </w:rPr>
    </w:lvl>
    <w:lvl w:ilvl="7" w:tentative="0">
      <w:start w:val="1"/>
      <w:numFmt w:val="decimal"/>
      <w:lvlText w:val="%1.%2.%3.%4.%5.%6.%7.%8"/>
      <w:lvlJc w:val="left"/>
      <w:pPr>
        <w:tabs>
          <w:tab w:val="left" w:pos="6054"/>
        </w:tabs>
        <w:ind w:left="4592" w:hanging="1418"/>
      </w:pPr>
      <w:rPr>
        <w:rFonts w:hint="eastAsia"/>
      </w:rPr>
    </w:lvl>
    <w:lvl w:ilvl="8" w:tentative="0">
      <w:start w:val="1"/>
      <w:numFmt w:val="decimal"/>
      <w:lvlText w:val="%1.%2.%3.%4.%5.%6.%7.%8.%9"/>
      <w:lvlJc w:val="left"/>
      <w:pPr>
        <w:tabs>
          <w:tab w:val="left" w:pos="6840"/>
        </w:tabs>
        <w:ind w:left="5300" w:hanging="1700"/>
      </w:pPr>
      <w:rPr>
        <w:rFonts w:hint="eastAsia"/>
      </w:rPr>
    </w:lvl>
  </w:abstractNum>
  <w:abstractNum w:abstractNumId="5">
    <w:nsid w:val="00000007"/>
    <w:multiLevelType w:val="multilevel"/>
    <w:tmpl w:val="00000007"/>
    <w:lvl w:ilvl="0" w:tentative="0">
      <w:start w:val="1"/>
      <w:numFmt w:val="upperLetter"/>
      <w:lvlText w:val="%1"/>
      <w:lvlJc w:val="left"/>
      <w:pPr>
        <w:ind w:left="420" w:hanging="420"/>
      </w:pPr>
      <w:rPr>
        <w:rFonts w:hint="eastAsia"/>
      </w:rPr>
    </w:lvl>
    <w:lvl w:ilvl="1" w:tentative="0">
      <w:start w:val="1"/>
      <w:numFmt w:val="decimal"/>
      <w:pStyle w:val="48"/>
      <w:suff w:val="space"/>
      <w:lvlText w:val="图%1.%2"/>
      <w:lvlJc w:val="center"/>
      <w:pPr>
        <w:ind w:left="0" w:firstLine="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6">
    <w:nsid w:val="00000009"/>
    <w:multiLevelType w:val="multilevel"/>
    <w:tmpl w:val="00000009"/>
    <w:lvl w:ilvl="0" w:tentative="0">
      <w:start w:val="1"/>
      <w:numFmt w:val="decimal"/>
      <w:pStyle w:val="47"/>
      <w:suff w:val="nothing"/>
      <w:lvlText w:val="图%1　"/>
      <w:lvlJc w:val="left"/>
      <w:pPr>
        <w:ind w:left="0" w:firstLine="0"/>
      </w:pPr>
      <w:rPr>
        <w:rFonts w:hint="eastAsia" w:ascii="黑体" w:hAnsi="Times New Roman" w:eastAsia="黑体"/>
        <w:b w:val="0"/>
        <w:i w:val="0"/>
        <w:sz w:val="21"/>
      </w:rPr>
    </w:lvl>
    <w:lvl w:ilvl="1" w:tentative="0">
      <w:start w:val="1"/>
      <w:numFmt w:val="decimal"/>
      <w:suff w:val="nothing"/>
      <w:lvlText w:val="%1%2　"/>
      <w:lvlJc w:val="left"/>
      <w:pPr>
        <w:ind w:left="0" w:firstLine="0"/>
      </w:pPr>
      <w:rPr>
        <w:rFonts w:hint="default" w:ascii="Times New Roman" w:hAnsi="Times New Roman" w:eastAsia="黑体"/>
        <w:b w:val="0"/>
        <w:i w:val="0"/>
        <w:sz w:val="21"/>
      </w:rPr>
    </w:lvl>
    <w:lvl w:ilvl="2" w:tentative="0">
      <w:start w:val="1"/>
      <w:numFmt w:val="decimal"/>
      <w:suff w:val="nothing"/>
      <w:lvlText w:val="%1%2.%3　"/>
      <w:lvlJc w:val="left"/>
      <w:pPr>
        <w:ind w:left="0" w:firstLine="0"/>
      </w:pPr>
      <w:rPr>
        <w:rFonts w:hint="default" w:ascii="Times New Roman" w:hAnsi="Times New Roman" w:eastAsia="黑体"/>
        <w:b w:val="0"/>
        <w:i w:val="0"/>
        <w:sz w:val="21"/>
      </w:rPr>
    </w:lvl>
    <w:lvl w:ilvl="3" w:tentative="0">
      <w:start w:val="1"/>
      <w:numFmt w:val="decimal"/>
      <w:suff w:val="nothing"/>
      <w:lvlText w:val="%1%2.%3.%4　"/>
      <w:lvlJc w:val="left"/>
      <w:pPr>
        <w:ind w:left="0" w:firstLine="0"/>
      </w:pPr>
      <w:rPr>
        <w:rFonts w:hint="default" w:ascii="Times New Roman" w:hAnsi="Times New Roman" w:eastAsia="黑体"/>
        <w:b w:val="0"/>
        <w:i w:val="0"/>
        <w:sz w:val="21"/>
      </w:rPr>
    </w:lvl>
    <w:lvl w:ilvl="4" w:tentative="0">
      <w:start w:val="1"/>
      <w:numFmt w:val="decimal"/>
      <w:suff w:val="nothing"/>
      <w:lvlText w:val="%1%2.%3.%4.%5　"/>
      <w:lvlJc w:val="left"/>
      <w:pPr>
        <w:ind w:left="0" w:firstLine="0"/>
      </w:pPr>
      <w:rPr>
        <w:rFonts w:hint="default" w:ascii="Times New Roman" w:hAnsi="Times New Roman" w:eastAsia="黑体"/>
        <w:b w:val="0"/>
        <w:i w:val="0"/>
        <w:sz w:val="21"/>
      </w:rPr>
    </w:lvl>
    <w:lvl w:ilvl="5" w:tentative="0">
      <w:start w:val="1"/>
      <w:numFmt w:val="decimal"/>
      <w:suff w:val="nothing"/>
      <w:lvlText w:val="%1%2.%3.%4.%5.%6　"/>
      <w:lvlJc w:val="left"/>
      <w:pPr>
        <w:ind w:left="0" w:firstLine="0"/>
      </w:pPr>
      <w:rPr>
        <w:rFonts w:hint="default" w:ascii="Times New Roman" w:hAnsi="Times New Roman" w:eastAsia="黑体"/>
        <w:b w:val="0"/>
        <w:i w:val="0"/>
        <w:sz w:val="21"/>
      </w:rPr>
    </w:lvl>
    <w:lvl w:ilvl="6" w:tentative="0">
      <w:start w:val="1"/>
      <w:numFmt w:val="decimal"/>
      <w:suff w:val="nothing"/>
      <w:lvlText w:val="%1%2.%3.%4.%5.%6.%7　"/>
      <w:lvlJc w:val="left"/>
      <w:pPr>
        <w:ind w:left="0" w:firstLine="0"/>
      </w:pPr>
      <w:rPr>
        <w:rFonts w:hint="default" w:ascii="Times New Roman"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7">
    <w:nsid w:val="0000000A"/>
    <w:multiLevelType w:val="multilevel"/>
    <w:tmpl w:val="0000000A"/>
    <w:lvl w:ilvl="0" w:tentative="0">
      <w:start w:val="1"/>
      <w:numFmt w:val="upperLetter"/>
      <w:lvlText w:val="%1"/>
      <w:lvlJc w:val="left"/>
      <w:pPr>
        <w:tabs>
          <w:tab w:val="left" w:pos="0"/>
        </w:tabs>
        <w:ind w:left="0" w:hanging="425"/>
      </w:pPr>
      <w:rPr>
        <w:rFonts w:hint="eastAsia"/>
      </w:rPr>
    </w:lvl>
    <w:lvl w:ilvl="1" w:tentative="0">
      <w:start w:val="1"/>
      <w:numFmt w:val="decimal"/>
      <w:pStyle w:val="34"/>
      <w:suff w:val="nothing"/>
      <w:lvlText w:val="表%1.%2　"/>
      <w:lvlJc w:val="left"/>
      <w:pPr>
        <w:ind w:left="567" w:hanging="567"/>
      </w:pPr>
      <w:rPr>
        <w:rFonts w:hint="eastAsia"/>
      </w:rPr>
    </w:lvl>
    <w:lvl w:ilvl="2" w:tentative="0">
      <w:start w:val="1"/>
      <w:numFmt w:val="decimal"/>
      <w:lvlText w:val="%1.%2.%3"/>
      <w:lvlJc w:val="left"/>
      <w:pPr>
        <w:tabs>
          <w:tab w:val="left" w:pos="993"/>
        </w:tabs>
        <w:ind w:left="993" w:hanging="567"/>
      </w:pPr>
      <w:rPr>
        <w:rFonts w:hint="eastAsia"/>
      </w:rPr>
    </w:lvl>
    <w:lvl w:ilvl="3" w:tentative="0">
      <w:start w:val="1"/>
      <w:numFmt w:val="decimal"/>
      <w:lvlText w:val="%1.%2.%3.%4"/>
      <w:lvlJc w:val="left"/>
      <w:pPr>
        <w:tabs>
          <w:tab w:val="left" w:pos="2291"/>
        </w:tabs>
        <w:ind w:left="1559" w:hanging="708"/>
      </w:pPr>
      <w:rPr>
        <w:rFonts w:hint="eastAsia"/>
      </w:rPr>
    </w:lvl>
    <w:lvl w:ilvl="4" w:tentative="0">
      <w:start w:val="1"/>
      <w:numFmt w:val="decimal"/>
      <w:lvlText w:val="%1.%2.%3.%4.%5"/>
      <w:lvlJc w:val="left"/>
      <w:pPr>
        <w:tabs>
          <w:tab w:val="left" w:pos="3076"/>
        </w:tabs>
        <w:ind w:left="2126" w:hanging="850"/>
      </w:pPr>
      <w:rPr>
        <w:rFonts w:hint="eastAsia"/>
      </w:rPr>
    </w:lvl>
    <w:lvl w:ilvl="5" w:tentative="0">
      <w:start w:val="1"/>
      <w:numFmt w:val="decimal"/>
      <w:lvlText w:val="%1.%2.%3.%4.%5.%6"/>
      <w:lvlJc w:val="left"/>
      <w:pPr>
        <w:tabs>
          <w:tab w:val="left" w:pos="3861"/>
        </w:tabs>
        <w:ind w:left="2835" w:hanging="1134"/>
      </w:pPr>
      <w:rPr>
        <w:rFonts w:hint="eastAsia"/>
      </w:rPr>
    </w:lvl>
    <w:lvl w:ilvl="6" w:tentative="0">
      <w:start w:val="1"/>
      <w:numFmt w:val="decimal"/>
      <w:lvlText w:val="%1.%2.%3.%4.%5.%6.%7"/>
      <w:lvlJc w:val="left"/>
      <w:pPr>
        <w:tabs>
          <w:tab w:val="left" w:pos="4646"/>
        </w:tabs>
        <w:ind w:left="3402" w:hanging="1276"/>
      </w:pPr>
      <w:rPr>
        <w:rFonts w:hint="eastAsia"/>
      </w:rPr>
    </w:lvl>
    <w:lvl w:ilvl="7" w:tentative="0">
      <w:start w:val="1"/>
      <w:numFmt w:val="decimal"/>
      <w:lvlText w:val="%1.%2.%3.%4.%5.%6.%7.%8"/>
      <w:lvlJc w:val="left"/>
      <w:pPr>
        <w:tabs>
          <w:tab w:val="left" w:pos="5431"/>
        </w:tabs>
        <w:ind w:left="3969" w:hanging="1418"/>
      </w:pPr>
      <w:rPr>
        <w:rFonts w:hint="eastAsia"/>
      </w:rPr>
    </w:lvl>
    <w:lvl w:ilvl="8" w:tentative="0">
      <w:start w:val="1"/>
      <w:numFmt w:val="decimal"/>
      <w:lvlText w:val="%1.%2.%3.%4.%5.%6.%7.%8.%9"/>
      <w:lvlJc w:val="left"/>
      <w:pPr>
        <w:tabs>
          <w:tab w:val="left" w:pos="6217"/>
        </w:tabs>
        <w:ind w:left="4677" w:hanging="1700"/>
      </w:pPr>
      <w:rPr>
        <w:rFonts w:hint="eastAsia"/>
      </w:rPr>
    </w:lvl>
  </w:abstractNum>
  <w:abstractNum w:abstractNumId="8">
    <w:nsid w:val="0000000B"/>
    <w:multiLevelType w:val="multilevel"/>
    <w:tmpl w:val="0000000B"/>
    <w:lvl w:ilvl="0" w:tentative="0">
      <w:start w:val="1"/>
      <w:numFmt w:val="decimal"/>
      <w:pStyle w:val="46"/>
      <w:suff w:val="nothing"/>
      <w:lvlText w:val="表%1　"/>
      <w:lvlJc w:val="left"/>
      <w:pPr>
        <w:ind w:left="0" w:firstLine="0"/>
      </w:pPr>
      <w:rPr>
        <w:rFonts w:hint="eastAsia" w:ascii="黑体" w:hAnsi="Times New Roman" w:eastAsia="黑体"/>
        <w:b w:val="0"/>
        <w:i w:val="0"/>
        <w:sz w:val="21"/>
      </w:rPr>
    </w:lvl>
    <w:lvl w:ilvl="1" w:tentative="0">
      <w:start w:val="1"/>
      <w:numFmt w:val="decimal"/>
      <w:lvlText w:val="%1.%2"/>
      <w:lvlJc w:val="left"/>
      <w:pPr>
        <w:tabs>
          <w:tab w:val="left" w:pos="992"/>
        </w:tabs>
        <w:ind w:left="992" w:hanging="567"/>
      </w:pPr>
      <w:rPr>
        <w:rFonts w:hint="eastAsia"/>
      </w:rPr>
    </w:lvl>
    <w:lvl w:ilvl="2" w:tentative="0">
      <w:start w:val="1"/>
      <w:numFmt w:val="decimal"/>
      <w:lvlText w:val="%1.%2.%3"/>
      <w:lvlJc w:val="left"/>
      <w:pPr>
        <w:tabs>
          <w:tab w:val="left" w:pos="1418"/>
        </w:tabs>
        <w:ind w:left="1418" w:hanging="567"/>
      </w:pPr>
      <w:rPr>
        <w:rFonts w:hint="eastAsia"/>
      </w:rPr>
    </w:lvl>
    <w:lvl w:ilvl="3" w:tentative="0">
      <w:start w:val="1"/>
      <w:numFmt w:val="decimal"/>
      <w:lvlText w:val="%1.%2.%3.%4"/>
      <w:lvlJc w:val="left"/>
      <w:pPr>
        <w:tabs>
          <w:tab w:val="left" w:pos="1984"/>
        </w:tabs>
        <w:ind w:left="1984" w:hanging="708"/>
      </w:pPr>
      <w:rPr>
        <w:rFonts w:hint="eastAsia"/>
      </w:rPr>
    </w:lvl>
    <w:lvl w:ilvl="4" w:tentative="0">
      <w:start w:val="1"/>
      <w:numFmt w:val="decimal"/>
      <w:lvlText w:val="%1.%2.%3.%4.%5"/>
      <w:lvlJc w:val="left"/>
      <w:pPr>
        <w:tabs>
          <w:tab w:val="left" w:pos="2551"/>
        </w:tabs>
        <w:ind w:left="2551" w:hanging="850"/>
      </w:pPr>
      <w:rPr>
        <w:rFonts w:hint="eastAsia"/>
      </w:rPr>
    </w:lvl>
    <w:lvl w:ilvl="5" w:tentative="0">
      <w:start w:val="1"/>
      <w:numFmt w:val="decimal"/>
      <w:lvlText w:val="%1.%2.%3.%4.%5.%6"/>
      <w:lvlJc w:val="left"/>
      <w:pPr>
        <w:tabs>
          <w:tab w:val="left" w:pos="3260"/>
        </w:tabs>
        <w:ind w:left="3260" w:hanging="1134"/>
      </w:pPr>
      <w:rPr>
        <w:rFonts w:hint="eastAsia"/>
      </w:rPr>
    </w:lvl>
    <w:lvl w:ilvl="6" w:tentative="0">
      <w:start w:val="1"/>
      <w:numFmt w:val="decimal"/>
      <w:lvlText w:val="%1.%2.%3.%4.%5.%6.%7"/>
      <w:lvlJc w:val="left"/>
      <w:pPr>
        <w:tabs>
          <w:tab w:val="left" w:pos="3827"/>
        </w:tabs>
        <w:ind w:left="3827" w:hanging="1276"/>
      </w:pPr>
      <w:rPr>
        <w:rFonts w:hint="eastAsia"/>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abstractNum w:abstractNumId="9">
    <w:nsid w:val="0000000C"/>
    <w:multiLevelType w:val="multilevel"/>
    <w:tmpl w:val="0000000C"/>
    <w:lvl w:ilvl="0" w:tentative="0">
      <w:start w:val="1"/>
      <w:numFmt w:val="none"/>
      <w:suff w:val="nothing"/>
      <w:lvlText w:val="%1"/>
      <w:lvlJc w:val="left"/>
      <w:pPr>
        <w:ind w:left="0" w:firstLine="0"/>
      </w:pPr>
      <w:rPr>
        <w:rFonts w:hint="eastAsia"/>
      </w:rPr>
    </w:lvl>
    <w:lvl w:ilvl="1" w:tentative="0">
      <w:start w:val="1"/>
      <w:numFmt w:val="decimal"/>
      <w:pStyle w:val="42"/>
      <w:suff w:val="nothing"/>
      <w:lvlText w:val="%1%2　"/>
      <w:lvlJc w:val="left"/>
      <w:pPr>
        <w:ind w:left="0" w:firstLine="0"/>
      </w:pPr>
      <w:rPr>
        <w:rFonts w:hint="eastAsia" w:ascii="黑体" w:eastAsia="黑体"/>
        <w:b w:val="0"/>
        <w:i w:val="0"/>
        <w:sz w:val="21"/>
      </w:rPr>
    </w:lvl>
    <w:lvl w:ilvl="2" w:tentative="0">
      <w:start w:val="1"/>
      <w:numFmt w:val="decimal"/>
      <w:suff w:val="nothing"/>
      <w:lvlText w:val="%1%2.%3　"/>
      <w:lvlJc w:val="left"/>
      <w:pPr>
        <w:ind w:left="0" w:firstLine="0"/>
      </w:pPr>
      <w:rPr>
        <w:rFonts w:hint="eastAsia" w:ascii="黑体" w:hAnsi="Times New Roman" w:eastAsia="黑体" w:cs="Times New Roman"/>
        <w:b w:val="0"/>
        <w:bCs w:val="0"/>
        <w:i w:val="0"/>
        <w:iCs w:val="0"/>
        <w:caps w:val="0"/>
        <w:smallCaps w:val="0"/>
        <w:vanish w:val="0"/>
        <w:color w:val="000000"/>
        <w:spacing w:val="0"/>
        <w:kern w:val="0"/>
        <w:position w:val="0"/>
        <w:sz w:val="21"/>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3" w:tentative="0">
      <w:start w:val="1"/>
      <w:numFmt w:val="decimal"/>
      <w:pStyle w:val="54"/>
      <w:suff w:val="nothing"/>
      <w:lvlText w:val="%1%2.%3.%4　"/>
      <w:lvlJc w:val="left"/>
      <w:pPr>
        <w:ind w:left="0" w:firstLine="0"/>
      </w:pPr>
      <w:rPr>
        <w:rFonts w:hint="eastAsia" w:ascii="黑体" w:eastAsia="黑体"/>
        <w:b w:val="0"/>
        <w:i w:val="0"/>
        <w:sz w:val="21"/>
      </w:rPr>
    </w:lvl>
    <w:lvl w:ilvl="4" w:tentative="0">
      <w:start w:val="1"/>
      <w:numFmt w:val="decimal"/>
      <w:pStyle w:val="55"/>
      <w:suff w:val="nothing"/>
      <w:lvlText w:val="%1%2.%3.%4.%5　"/>
      <w:lvlJc w:val="left"/>
      <w:pPr>
        <w:ind w:left="0" w:firstLine="0"/>
      </w:pPr>
      <w:rPr>
        <w:rFonts w:hint="eastAsia" w:ascii="黑体" w:eastAsia="黑体"/>
        <w:b w:val="0"/>
        <w:i w:val="0"/>
        <w:sz w:val="21"/>
      </w:rPr>
    </w:lvl>
    <w:lvl w:ilvl="5" w:tentative="0">
      <w:start w:val="1"/>
      <w:numFmt w:val="decimal"/>
      <w:suff w:val="nothing"/>
      <w:lvlText w:val="%1%2.%3.%4.%5.%6　"/>
      <w:lvlJc w:val="left"/>
      <w:pPr>
        <w:ind w:left="0" w:firstLine="0"/>
      </w:pPr>
      <w:rPr>
        <w:rFonts w:hint="eastAsia" w:ascii="黑体" w:eastAsia="黑体"/>
        <w:b w:val="0"/>
        <w:i w:val="0"/>
        <w:sz w:val="21"/>
      </w:rPr>
    </w:lvl>
    <w:lvl w:ilvl="6" w:tentative="0">
      <w:start w:val="1"/>
      <w:numFmt w:val="decimal"/>
      <w:suff w:val="nothing"/>
      <w:lvlText w:val="%1%2.%3.%4.%5.%6.%7　"/>
      <w:lvlJc w:val="left"/>
      <w:pPr>
        <w:ind w:left="0" w:firstLine="0"/>
      </w:pPr>
      <w:rPr>
        <w:rFonts w:hint="eastAsia" w:ascii="黑体"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10">
    <w:nsid w:val="2C5917C3"/>
    <w:multiLevelType w:val="multilevel"/>
    <w:tmpl w:val="2C5917C3"/>
    <w:lvl w:ilvl="0" w:tentative="0">
      <w:start w:val="1"/>
      <w:numFmt w:val="none"/>
      <w:pStyle w:val="58"/>
      <w:lvlText w:val="%1——"/>
      <w:lvlJc w:val="left"/>
      <w:pPr>
        <w:tabs>
          <w:tab w:val="left" w:pos="851"/>
        </w:tabs>
        <w:ind w:left="851" w:hanging="426"/>
      </w:pPr>
      <w:rPr>
        <w:rFonts w:hint="eastAsia" w:ascii="宋体" w:hAnsi="Times New Roman" w:eastAsia="宋体"/>
        <w:b w:val="0"/>
        <w:i w:val="0"/>
        <w:sz w:val="21"/>
      </w:rPr>
    </w:lvl>
    <w:lvl w:ilvl="1" w:tentative="0">
      <w:start w:val="1"/>
      <w:numFmt w:val="none"/>
      <w:pStyle w:val="62"/>
      <w:lvlText w:val=""/>
      <w:lvlJc w:val="left"/>
      <w:pPr>
        <w:ind w:left="851" w:hanging="431"/>
      </w:pPr>
      <w:rPr>
        <w:rFonts w:hint="default" w:ascii="Symbol" w:hAnsi="Symbol"/>
        <w:sz w:val="21"/>
      </w:rPr>
    </w:lvl>
    <w:lvl w:ilvl="2" w:tentative="0">
      <w:start w:val="1"/>
      <w:numFmt w:val="bullet"/>
      <w:lvlText w:val=""/>
      <w:lvlJc w:val="left"/>
      <w:pPr>
        <w:ind w:left="851" w:hanging="426"/>
      </w:pPr>
      <w:rPr>
        <w:rFonts w:hint="default" w:ascii="Wingdings" w:hAnsi="Wingdings"/>
        <w:sz w:val="21"/>
      </w:rPr>
    </w:lvl>
    <w:lvl w:ilvl="3" w:tentative="0">
      <w:start w:val="1"/>
      <w:numFmt w:val="decimal"/>
      <w:lvlText w:val="%4."/>
      <w:lvlJc w:val="left"/>
      <w:pPr>
        <w:tabs>
          <w:tab w:val="left" w:pos="2071"/>
        </w:tabs>
        <w:ind w:left="1884" w:hanging="528"/>
      </w:pPr>
      <w:rPr>
        <w:rFonts w:hint="eastAsia"/>
      </w:rPr>
    </w:lvl>
    <w:lvl w:ilvl="4" w:tentative="0">
      <w:start w:val="1"/>
      <w:numFmt w:val="lowerLetter"/>
      <w:lvlText w:val="%5)"/>
      <w:lvlJc w:val="left"/>
      <w:pPr>
        <w:tabs>
          <w:tab w:val="left" w:pos="2383"/>
        </w:tabs>
        <w:ind w:left="2196" w:hanging="528"/>
      </w:pPr>
      <w:rPr>
        <w:rFonts w:hint="eastAsia"/>
      </w:rPr>
    </w:lvl>
    <w:lvl w:ilvl="5" w:tentative="0">
      <w:start w:val="1"/>
      <w:numFmt w:val="lowerRoman"/>
      <w:lvlText w:val="%6."/>
      <w:lvlJc w:val="right"/>
      <w:pPr>
        <w:tabs>
          <w:tab w:val="left" w:pos="2695"/>
        </w:tabs>
        <w:ind w:left="2508" w:hanging="528"/>
      </w:pPr>
      <w:rPr>
        <w:rFonts w:hint="eastAsia"/>
      </w:rPr>
    </w:lvl>
    <w:lvl w:ilvl="6" w:tentative="0">
      <w:start w:val="1"/>
      <w:numFmt w:val="decimal"/>
      <w:lvlText w:val="%7."/>
      <w:lvlJc w:val="left"/>
      <w:pPr>
        <w:tabs>
          <w:tab w:val="left" w:pos="3007"/>
        </w:tabs>
        <w:ind w:left="2820" w:hanging="528"/>
      </w:pPr>
      <w:rPr>
        <w:rFonts w:hint="eastAsia"/>
      </w:rPr>
    </w:lvl>
    <w:lvl w:ilvl="7" w:tentative="0">
      <w:start w:val="1"/>
      <w:numFmt w:val="lowerLetter"/>
      <w:lvlText w:val="%8)"/>
      <w:lvlJc w:val="left"/>
      <w:pPr>
        <w:tabs>
          <w:tab w:val="left" w:pos="3319"/>
        </w:tabs>
        <w:ind w:left="3132" w:hanging="528"/>
      </w:pPr>
      <w:rPr>
        <w:rFonts w:hint="eastAsia"/>
      </w:rPr>
    </w:lvl>
    <w:lvl w:ilvl="8" w:tentative="0">
      <w:start w:val="1"/>
      <w:numFmt w:val="lowerRoman"/>
      <w:lvlText w:val="%9."/>
      <w:lvlJc w:val="right"/>
      <w:pPr>
        <w:tabs>
          <w:tab w:val="left" w:pos="3631"/>
        </w:tabs>
        <w:ind w:left="3444" w:hanging="528"/>
      </w:pPr>
      <w:rPr>
        <w:rFonts w:hint="eastAsia"/>
      </w:rPr>
    </w:lvl>
  </w:abstractNum>
  <w:abstractNum w:abstractNumId="11">
    <w:nsid w:val="657D3FBC"/>
    <w:multiLevelType w:val="multilevel"/>
    <w:tmpl w:val="657D3FBC"/>
    <w:lvl w:ilvl="0" w:tentative="0">
      <w:start w:val="1"/>
      <w:numFmt w:val="upperLetter"/>
      <w:pStyle w:val="63"/>
      <w:suff w:val="nothing"/>
      <w:lvlText w:val="附录%1"/>
      <w:lvlJc w:val="left"/>
      <w:pPr>
        <w:ind w:left="0" w:firstLine="0"/>
      </w:pPr>
      <w:rPr>
        <w:rFonts w:hint="eastAsia"/>
        <w:spacing w:val="100"/>
      </w:rPr>
    </w:lvl>
    <w:lvl w:ilvl="1" w:tentative="0">
      <w:start w:val="1"/>
      <w:numFmt w:val="decimal"/>
      <w:suff w:val="nothing"/>
      <w:lvlText w:val="%1.%2　"/>
      <w:lvlJc w:val="left"/>
      <w:pPr>
        <w:ind w:left="0" w:firstLine="0"/>
      </w:pPr>
      <w:rPr>
        <w:rFonts w:hint="eastAsia" w:ascii="黑体" w:eastAsia="黑体"/>
        <w:b w:val="0"/>
        <w:i w:val="0"/>
        <w:sz w:val="21"/>
      </w:rPr>
    </w:lvl>
    <w:lvl w:ilvl="2" w:tentative="0">
      <w:start w:val="1"/>
      <w:numFmt w:val="decimal"/>
      <w:suff w:val="nothing"/>
      <w:lvlText w:val="%1.%2.%3　"/>
      <w:lvlJc w:val="left"/>
      <w:pPr>
        <w:ind w:left="0" w:firstLine="0"/>
      </w:pPr>
      <w:rPr>
        <w:rFonts w:hint="eastAsia" w:ascii="黑体" w:eastAsia="黑体"/>
        <w:b w:val="0"/>
        <w:i w:val="0"/>
        <w:sz w:val="21"/>
      </w:rPr>
    </w:lvl>
    <w:lvl w:ilvl="3" w:tentative="0">
      <w:start w:val="1"/>
      <w:numFmt w:val="decimal"/>
      <w:suff w:val="nothing"/>
      <w:lvlText w:val="%1.%2.%3.%4　"/>
      <w:lvlJc w:val="left"/>
      <w:pPr>
        <w:ind w:left="0" w:firstLine="0"/>
      </w:pPr>
      <w:rPr>
        <w:rFonts w:hint="eastAsia" w:ascii="黑体" w:eastAsia="黑体"/>
        <w:b w:val="0"/>
        <w:i w:val="0"/>
        <w:sz w:val="21"/>
      </w:rPr>
    </w:lvl>
    <w:lvl w:ilvl="4" w:tentative="0">
      <w:start w:val="1"/>
      <w:numFmt w:val="decimal"/>
      <w:suff w:val="nothing"/>
      <w:lvlText w:val="%1.%2.%3.%4.%5　"/>
      <w:lvlJc w:val="left"/>
      <w:pPr>
        <w:ind w:left="0" w:firstLine="0"/>
      </w:pPr>
      <w:rPr>
        <w:rFonts w:hint="eastAsia" w:ascii="黑体" w:eastAsia="黑体"/>
        <w:b w:val="0"/>
        <w:i w:val="0"/>
        <w:sz w:val="21"/>
      </w:rPr>
    </w:lvl>
    <w:lvl w:ilvl="5" w:tentative="0">
      <w:start w:val="1"/>
      <w:numFmt w:val="decimal"/>
      <w:suff w:val="nothing"/>
      <w:lvlText w:val="%1.%2.%3.%4.%5.%6　"/>
      <w:lvlJc w:val="left"/>
      <w:pPr>
        <w:ind w:left="0" w:firstLine="0"/>
      </w:pPr>
      <w:rPr>
        <w:rFonts w:hint="eastAsia" w:ascii="黑体" w:eastAsia="黑体"/>
        <w:b w:val="0"/>
        <w:i w:val="0"/>
        <w:sz w:val="21"/>
      </w:rPr>
    </w:lvl>
    <w:lvl w:ilvl="6" w:tentative="0">
      <w:start w:val="1"/>
      <w:numFmt w:val="decimal"/>
      <w:suff w:val="nothing"/>
      <w:lvlText w:val="%1.%2.%3.%4.%5.%6.%7　"/>
      <w:lvlJc w:val="left"/>
      <w:pPr>
        <w:ind w:left="0" w:firstLine="0"/>
      </w:pPr>
      <w:rPr>
        <w:rFonts w:hint="eastAsia"/>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num w:numId="1">
    <w:abstractNumId w:val="3"/>
  </w:num>
  <w:num w:numId="2">
    <w:abstractNumId w:val="0"/>
  </w:num>
  <w:num w:numId="3">
    <w:abstractNumId w:val="4"/>
  </w:num>
  <w:num w:numId="4">
    <w:abstractNumId w:val="2"/>
  </w:num>
  <w:num w:numId="5">
    <w:abstractNumId w:val="1"/>
  </w:num>
  <w:num w:numId="6">
    <w:abstractNumId w:val="7"/>
  </w:num>
  <w:num w:numId="7">
    <w:abstractNumId w:val="9"/>
  </w:num>
  <w:num w:numId="8">
    <w:abstractNumId w:val="8"/>
  </w:num>
  <w:num w:numId="9">
    <w:abstractNumId w:val="6"/>
  </w:num>
  <w:num w:numId="10">
    <w:abstractNumId w:val="5"/>
  </w:num>
  <w:num w:numId="11">
    <w:abstractNumId w:val="10"/>
  </w:num>
  <w:num w:numId="12">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SystemFonts/>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F68E4"/>
    <w:rsid w:val="00016015"/>
    <w:rsid w:val="00016F1E"/>
    <w:rsid w:val="000260A0"/>
    <w:rsid w:val="0007410C"/>
    <w:rsid w:val="000B136F"/>
    <w:rsid w:val="000B4FCE"/>
    <w:rsid w:val="000D5EEB"/>
    <w:rsid w:val="001E6624"/>
    <w:rsid w:val="002054E9"/>
    <w:rsid w:val="002674C5"/>
    <w:rsid w:val="00304437"/>
    <w:rsid w:val="003B7EEE"/>
    <w:rsid w:val="00423AB5"/>
    <w:rsid w:val="00497C93"/>
    <w:rsid w:val="004E3323"/>
    <w:rsid w:val="004F3624"/>
    <w:rsid w:val="005004FC"/>
    <w:rsid w:val="00544167"/>
    <w:rsid w:val="005819F1"/>
    <w:rsid w:val="005B2DB8"/>
    <w:rsid w:val="005E662E"/>
    <w:rsid w:val="006A1D9F"/>
    <w:rsid w:val="00755FFD"/>
    <w:rsid w:val="00895279"/>
    <w:rsid w:val="0089778A"/>
    <w:rsid w:val="008C736B"/>
    <w:rsid w:val="008F53B7"/>
    <w:rsid w:val="008F58A8"/>
    <w:rsid w:val="009222DE"/>
    <w:rsid w:val="009C069D"/>
    <w:rsid w:val="009F68E4"/>
    <w:rsid w:val="00A86BA3"/>
    <w:rsid w:val="00AD3AA1"/>
    <w:rsid w:val="00AD57E3"/>
    <w:rsid w:val="00B0426E"/>
    <w:rsid w:val="00B11A91"/>
    <w:rsid w:val="00B54B8E"/>
    <w:rsid w:val="00B74D2F"/>
    <w:rsid w:val="00C07923"/>
    <w:rsid w:val="00C162DC"/>
    <w:rsid w:val="00C522C4"/>
    <w:rsid w:val="00CD514D"/>
    <w:rsid w:val="00D37CB9"/>
    <w:rsid w:val="00D75816"/>
    <w:rsid w:val="00DC6ADA"/>
    <w:rsid w:val="00DD5647"/>
    <w:rsid w:val="00DD6EB5"/>
    <w:rsid w:val="00E40235"/>
    <w:rsid w:val="00E452E4"/>
    <w:rsid w:val="00EF6B07"/>
    <w:rsid w:val="00F229AC"/>
    <w:rsid w:val="03F22E22"/>
    <w:rsid w:val="05F900C8"/>
    <w:rsid w:val="07462BF7"/>
    <w:rsid w:val="08512ABE"/>
    <w:rsid w:val="097C7699"/>
    <w:rsid w:val="0C63464E"/>
    <w:rsid w:val="0E594E36"/>
    <w:rsid w:val="115C45E1"/>
    <w:rsid w:val="11F83C0A"/>
    <w:rsid w:val="135C51F4"/>
    <w:rsid w:val="166722FC"/>
    <w:rsid w:val="17737055"/>
    <w:rsid w:val="18A916AA"/>
    <w:rsid w:val="18AC4909"/>
    <w:rsid w:val="19226FEF"/>
    <w:rsid w:val="19AC6D10"/>
    <w:rsid w:val="1ABA7084"/>
    <w:rsid w:val="1C011545"/>
    <w:rsid w:val="1C7860BF"/>
    <w:rsid w:val="1CDE3B24"/>
    <w:rsid w:val="1E5F2F70"/>
    <w:rsid w:val="1F8D0DAE"/>
    <w:rsid w:val="1F9A291F"/>
    <w:rsid w:val="1FA241CE"/>
    <w:rsid w:val="23D941DC"/>
    <w:rsid w:val="24AC2115"/>
    <w:rsid w:val="26367B6E"/>
    <w:rsid w:val="2694601B"/>
    <w:rsid w:val="279B4D92"/>
    <w:rsid w:val="2B121C5E"/>
    <w:rsid w:val="2B58593F"/>
    <w:rsid w:val="2C827E91"/>
    <w:rsid w:val="2D6575EB"/>
    <w:rsid w:val="2FF651E9"/>
    <w:rsid w:val="31C03A67"/>
    <w:rsid w:val="31DD2A99"/>
    <w:rsid w:val="32442605"/>
    <w:rsid w:val="330D14E9"/>
    <w:rsid w:val="33AF7D44"/>
    <w:rsid w:val="34384A23"/>
    <w:rsid w:val="367E6919"/>
    <w:rsid w:val="37BB4512"/>
    <w:rsid w:val="37DB1F2B"/>
    <w:rsid w:val="38446032"/>
    <w:rsid w:val="386925BC"/>
    <w:rsid w:val="3873797C"/>
    <w:rsid w:val="3A9C4746"/>
    <w:rsid w:val="3C2047DB"/>
    <w:rsid w:val="3C902FEF"/>
    <w:rsid w:val="3E21439F"/>
    <w:rsid w:val="3E26027F"/>
    <w:rsid w:val="3E9D5FD8"/>
    <w:rsid w:val="401D4D50"/>
    <w:rsid w:val="409C4F2B"/>
    <w:rsid w:val="40C91CBD"/>
    <w:rsid w:val="4101535C"/>
    <w:rsid w:val="41F8186B"/>
    <w:rsid w:val="42922211"/>
    <w:rsid w:val="453E545D"/>
    <w:rsid w:val="46606925"/>
    <w:rsid w:val="492672D2"/>
    <w:rsid w:val="498E6F20"/>
    <w:rsid w:val="49FC7D81"/>
    <w:rsid w:val="4B1E715E"/>
    <w:rsid w:val="4CE217F7"/>
    <w:rsid w:val="4E8344F1"/>
    <w:rsid w:val="4F790EBF"/>
    <w:rsid w:val="4F8417ED"/>
    <w:rsid w:val="4FE13E9E"/>
    <w:rsid w:val="508326B5"/>
    <w:rsid w:val="50B2688F"/>
    <w:rsid w:val="50C6709E"/>
    <w:rsid w:val="523A79E8"/>
    <w:rsid w:val="563B6ADC"/>
    <w:rsid w:val="593C5C5A"/>
    <w:rsid w:val="59862372"/>
    <w:rsid w:val="5B8B1199"/>
    <w:rsid w:val="5C451348"/>
    <w:rsid w:val="5E933B80"/>
    <w:rsid w:val="603D576F"/>
    <w:rsid w:val="60D03D54"/>
    <w:rsid w:val="65E51701"/>
    <w:rsid w:val="66B66848"/>
    <w:rsid w:val="68C7169B"/>
    <w:rsid w:val="695D5F23"/>
    <w:rsid w:val="6A4E4497"/>
    <w:rsid w:val="6EE16988"/>
    <w:rsid w:val="6F1C12E5"/>
    <w:rsid w:val="70870F49"/>
    <w:rsid w:val="709D7828"/>
    <w:rsid w:val="70F70FDC"/>
    <w:rsid w:val="714725FA"/>
    <w:rsid w:val="719871F0"/>
    <w:rsid w:val="72AB7313"/>
    <w:rsid w:val="73AB1BCC"/>
    <w:rsid w:val="746C2916"/>
    <w:rsid w:val="760F1A62"/>
    <w:rsid w:val="761B6BE3"/>
    <w:rsid w:val="7743544A"/>
    <w:rsid w:val="78ED395A"/>
    <w:rsid w:val="7BB602C5"/>
    <w:rsid w:val="7E35461F"/>
    <w:rsid w:val="7FFB566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3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ind w:firstLine="880" w:firstLineChars="200"/>
      <w:jc w:val="both"/>
    </w:pPr>
    <w:rPr>
      <w:rFonts w:ascii="Times New Roman" w:hAnsi="Times New Roman" w:eastAsia="仿宋_GB2312" w:cs="Times New Roman"/>
      <w:kern w:val="2"/>
      <w:sz w:val="32"/>
      <w:szCs w:val="24"/>
      <w:lang w:val="en-US" w:eastAsia="zh-CN" w:bidi="ar-SA"/>
    </w:rPr>
  </w:style>
  <w:style w:type="character" w:default="1" w:styleId="11">
    <w:name w:val="Default Paragraph Font"/>
    <w:semiHidden/>
    <w:unhideWhenUsed/>
    <w:qFormat/>
    <w:uiPriority w:val="1"/>
  </w:style>
  <w:style w:type="table" w:default="1" w:styleId="9">
    <w:name w:val="Normal Table"/>
    <w:semiHidden/>
    <w:unhideWhenUsed/>
    <w:qFormat/>
    <w:uiPriority w:val="99"/>
    <w:tblPr>
      <w:tblCellMar>
        <w:top w:w="0" w:type="dxa"/>
        <w:left w:w="108" w:type="dxa"/>
        <w:bottom w:w="0" w:type="dxa"/>
        <w:right w:w="108" w:type="dxa"/>
      </w:tblCellMar>
    </w:tblPr>
  </w:style>
  <w:style w:type="paragraph" w:styleId="2">
    <w:name w:val="caption"/>
    <w:basedOn w:val="1"/>
    <w:next w:val="1"/>
    <w:semiHidden/>
    <w:unhideWhenUsed/>
    <w:qFormat/>
    <w:uiPriority w:val="0"/>
    <w:rPr>
      <w:rFonts w:ascii="Arial" w:hAnsi="Arial" w:eastAsia="黑体"/>
      <w:sz w:val="20"/>
    </w:rPr>
  </w:style>
  <w:style w:type="paragraph" w:styleId="3">
    <w:name w:val="annotation text"/>
    <w:basedOn w:val="1"/>
    <w:qFormat/>
    <w:uiPriority w:val="0"/>
    <w:pPr>
      <w:jc w:val="left"/>
    </w:pPr>
  </w:style>
  <w:style w:type="paragraph" w:styleId="4">
    <w:name w:val="Body Text"/>
    <w:basedOn w:val="1"/>
    <w:semiHidden/>
    <w:qFormat/>
    <w:uiPriority w:val="0"/>
    <w:rPr>
      <w:rFonts w:ascii="宋体" w:hAnsi="宋体" w:eastAsia="宋体" w:cs="宋体"/>
      <w:sz w:val="20"/>
      <w:szCs w:val="20"/>
      <w:lang w:val="en-US" w:eastAsia="en-US" w:bidi="ar-SA"/>
    </w:rPr>
  </w:style>
  <w:style w:type="paragraph" w:styleId="5">
    <w:name w:val="Balloon Text"/>
    <w:basedOn w:val="1"/>
    <w:link w:val="41"/>
    <w:qFormat/>
    <w:uiPriority w:val="0"/>
    <w:rPr>
      <w:sz w:val="18"/>
      <w:szCs w:val="18"/>
    </w:rPr>
  </w:style>
  <w:style w:type="paragraph" w:styleId="6">
    <w:name w:val="footer"/>
    <w:basedOn w:val="1"/>
    <w:link w:val="33"/>
    <w:qFormat/>
    <w:uiPriority w:val="99"/>
    <w:pPr>
      <w:tabs>
        <w:tab w:val="center" w:pos="4153"/>
        <w:tab w:val="right" w:pos="8306"/>
      </w:tabs>
      <w:snapToGrid w:val="0"/>
      <w:jc w:val="left"/>
    </w:pPr>
    <w:rPr>
      <w:sz w:val="18"/>
      <w:szCs w:val="18"/>
    </w:rPr>
  </w:style>
  <w:style w:type="paragraph" w:styleId="7">
    <w:name w:val="header"/>
    <w:basedOn w:val="1"/>
    <w:link w:val="32"/>
    <w:qFormat/>
    <w:uiPriority w:val="0"/>
    <w:pPr>
      <w:pBdr>
        <w:bottom w:val="single" w:color="auto" w:sz="6" w:space="1"/>
      </w:pBdr>
      <w:tabs>
        <w:tab w:val="center" w:pos="4153"/>
        <w:tab w:val="right" w:pos="8306"/>
      </w:tabs>
      <w:snapToGrid w:val="0"/>
      <w:jc w:val="center"/>
    </w:pPr>
    <w:rPr>
      <w:sz w:val="18"/>
      <w:szCs w:val="18"/>
    </w:rPr>
  </w:style>
  <w:style w:type="paragraph" w:styleId="8">
    <w:name w:val="Normal (Web)"/>
    <w:basedOn w:val="1"/>
    <w:qFormat/>
    <w:uiPriority w:val="99"/>
    <w:pPr>
      <w:spacing w:before="100" w:beforeAutospacing="1" w:after="100" w:afterAutospacing="1"/>
      <w:jc w:val="left"/>
    </w:pPr>
    <w:rPr>
      <w:kern w:val="0"/>
      <w:sz w:val="24"/>
    </w:rPr>
  </w:style>
  <w:style w:type="table" w:styleId="10">
    <w:name w:val="Table Grid"/>
    <w:basedOn w:val="9"/>
    <w:qFormat/>
    <w:uiPriority w:val="39"/>
    <w:rPr>
      <w:rFonts w:ascii="宋体"/>
      <w:sz w:val="18"/>
      <w:szCs w:val="18"/>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12">
    <w:name w:val="Strong"/>
    <w:basedOn w:val="11"/>
    <w:qFormat/>
    <w:uiPriority w:val="0"/>
    <w:rPr>
      <w:b/>
    </w:rPr>
  </w:style>
  <w:style w:type="character" w:styleId="13">
    <w:name w:val="Hyperlink"/>
    <w:basedOn w:val="11"/>
    <w:qFormat/>
    <w:uiPriority w:val="99"/>
    <w:rPr>
      <w:color w:val="0000FF"/>
      <w:u w:val="single"/>
    </w:rPr>
  </w:style>
  <w:style w:type="character" w:styleId="14">
    <w:name w:val="annotation reference"/>
    <w:basedOn w:val="11"/>
    <w:qFormat/>
    <w:uiPriority w:val="0"/>
    <w:rPr>
      <w:sz w:val="21"/>
      <w:szCs w:val="21"/>
    </w:rPr>
  </w:style>
  <w:style w:type="paragraph" w:customStyle="1" w:styleId="15">
    <w:name w:val="BodyText2"/>
    <w:basedOn w:val="1"/>
    <w:qFormat/>
    <w:uiPriority w:val="0"/>
    <w:pPr>
      <w:spacing w:after="120" w:line="480" w:lineRule="auto"/>
      <w:textAlignment w:val="baseline"/>
    </w:pPr>
    <w:rPr>
      <w:szCs w:val="32"/>
    </w:rPr>
  </w:style>
  <w:style w:type="paragraph" w:customStyle="1" w:styleId="16">
    <w:name w:val="段"/>
    <w:link w:val="31"/>
    <w:qFormat/>
    <w:uiPriority w:val="0"/>
    <w:pPr>
      <w:tabs>
        <w:tab w:val="center" w:pos="4201"/>
        <w:tab w:val="right" w:leader="dot" w:pos="9298"/>
      </w:tabs>
      <w:autoSpaceDE w:val="0"/>
      <w:autoSpaceDN w:val="0"/>
      <w:ind w:firstLine="420" w:firstLineChars="200"/>
      <w:jc w:val="both"/>
    </w:pPr>
    <w:rPr>
      <w:rFonts w:ascii="宋体" w:hAnsi="Times New Roman" w:eastAsia="宋体" w:cs="Times New Roman"/>
      <w:sz w:val="21"/>
      <w:lang w:val="en-US" w:eastAsia="zh-CN" w:bidi="ar-SA"/>
    </w:rPr>
  </w:style>
  <w:style w:type="paragraph" w:customStyle="1" w:styleId="17">
    <w:name w:val="正文表标题"/>
    <w:next w:val="16"/>
    <w:qFormat/>
    <w:uiPriority w:val="0"/>
    <w:pPr>
      <w:spacing w:beforeLines="50" w:afterLines="50"/>
      <w:jc w:val="center"/>
    </w:pPr>
    <w:rPr>
      <w:rFonts w:ascii="黑体" w:hAnsi="Times New Roman" w:eastAsia="黑体" w:cs="Times New Roman"/>
      <w:sz w:val="21"/>
      <w:lang w:val="en-US" w:eastAsia="zh-CN" w:bidi="ar-SA"/>
    </w:rPr>
  </w:style>
  <w:style w:type="paragraph" w:customStyle="1" w:styleId="18">
    <w:name w:val="正文图标题"/>
    <w:next w:val="16"/>
    <w:qFormat/>
    <w:uiPriority w:val="0"/>
    <w:pPr>
      <w:tabs>
        <w:tab w:val="left" w:pos="360"/>
      </w:tabs>
      <w:spacing w:beforeLines="50" w:afterLines="50"/>
      <w:jc w:val="center"/>
    </w:pPr>
    <w:rPr>
      <w:rFonts w:ascii="黑体" w:hAnsi="Times New Roman" w:eastAsia="黑体" w:cs="Times New Roman"/>
      <w:sz w:val="21"/>
      <w:lang w:val="en-US" w:eastAsia="zh-CN" w:bidi="ar-SA"/>
    </w:rPr>
  </w:style>
  <w:style w:type="paragraph" w:customStyle="1" w:styleId="19">
    <w:name w:val="其他发布日期"/>
    <w:basedOn w:val="1"/>
    <w:qFormat/>
    <w:uiPriority w:val="0"/>
    <w:pPr>
      <w:framePr w:w="3997" w:h="471" w:hRule="exact" w:vSpace="181" w:wrap="around" w:vAnchor="page" w:hAnchor="page" w:x="1419" w:y="14097" w:anchorLock="1"/>
      <w:widowControl/>
      <w:ind w:firstLine="0"/>
      <w:jc w:val="left"/>
    </w:pPr>
    <w:rPr>
      <w:rFonts w:eastAsia="黑体"/>
      <w:kern w:val="0"/>
      <w:sz w:val="28"/>
      <w:szCs w:val="20"/>
    </w:rPr>
  </w:style>
  <w:style w:type="paragraph" w:customStyle="1" w:styleId="20">
    <w:name w:val="一级条标题"/>
    <w:next w:val="16"/>
    <w:qFormat/>
    <w:uiPriority w:val="0"/>
    <w:pPr>
      <w:numPr>
        <w:ilvl w:val="1"/>
        <w:numId w:val="1"/>
      </w:numPr>
      <w:spacing w:beforeLines="50" w:afterLines="50"/>
      <w:outlineLvl w:val="2"/>
    </w:pPr>
    <w:rPr>
      <w:rFonts w:ascii="黑体" w:hAnsi="Times New Roman" w:eastAsia="黑体" w:cs="Times New Roman"/>
      <w:sz w:val="21"/>
      <w:szCs w:val="21"/>
      <w:lang w:val="en-US" w:eastAsia="zh-CN" w:bidi="ar-SA"/>
    </w:rPr>
  </w:style>
  <w:style w:type="paragraph" w:customStyle="1" w:styleId="21">
    <w:name w:val="章标题"/>
    <w:next w:val="16"/>
    <w:qFormat/>
    <w:uiPriority w:val="0"/>
    <w:pPr>
      <w:numPr>
        <w:ilvl w:val="0"/>
        <w:numId w:val="1"/>
      </w:numPr>
      <w:spacing w:beforeLines="100" w:afterLines="100"/>
      <w:jc w:val="both"/>
      <w:outlineLvl w:val="1"/>
    </w:pPr>
    <w:rPr>
      <w:rFonts w:ascii="黑体" w:hAnsi="Times New Roman" w:eastAsia="黑体" w:cs="Times New Roman"/>
      <w:sz w:val="21"/>
      <w:lang w:val="en-US" w:eastAsia="zh-CN" w:bidi="ar-SA"/>
    </w:rPr>
  </w:style>
  <w:style w:type="paragraph" w:customStyle="1" w:styleId="22">
    <w:name w:val="二级条标题"/>
    <w:basedOn w:val="20"/>
    <w:next w:val="16"/>
    <w:qFormat/>
    <w:uiPriority w:val="0"/>
    <w:pPr>
      <w:numPr>
        <w:ilvl w:val="2"/>
        <w:numId w:val="0"/>
      </w:numPr>
      <w:spacing w:before="50" w:after="50"/>
      <w:outlineLvl w:val="3"/>
    </w:pPr>
  </w:style>
  <w:style w:type="paragraph" w:customStyle="1" w:styleId="23">
    <w:name w:val="三级条标题"/>
    <w:basedOn w:val="22"/>
    <w:next w:val="16"/>
    <w:qFormat/>
    <w:uiPriority w:val="0"/>
    <w:pPr>
      <w:numPr>
        <w:ilvl w:val="3"/>
      </w:numPr>
      <w:outlineLvl w:val="4"/>
    </w:pPr>
  </w:style>
  <w:style w:type="paragraph" w:customStyle="1" w:styleId="24">
    <w:name w:val="四级条标题"/>
    <w:basedOn w:val="23"/>
    <w:next w:val="16"/>
    <w:qFormat/>
    <w:uiPriority w:val="0"/>
    <w:pPr>
      <w:numPr>
        <w:ilvl w:val="4"/>
      </w:numPr>
      <w:outlineLvl w:val="5"/>
    </w:pPr>
  </w:style>
  <w:style w:type="paragraph" w:customStyle="1" w:styleId="25">
    <w:name w:val="五级条标题"/>
    <w:basedOn w:val="24"/>
    <w:next w:val="16"/>
    <w:qFormat/>
    <w:uiPriority w:val="0"/>
    <w:pPr>
      <w:numPr>
        <w:ilvl w:val="5"/>
      </w:numPr>
      <w:outlineLvl w:val="6"/>
    </w:pPr>
  </w:style>
  <w:style w:type="paragraph" w:customStyle="1" w:styleId="26">
    <w:name w:val="注："/>
    <w:next w:val="16"/>
    <w:qFormat/>
    <w:uiPriority w:val="0"/>
    <w:pPr>
      <w:widowControl w:val="0"/>
      <w:numPr>
        <w:ilvl w:val="0"/>
        <w:numId w:val="2"/>
      </w:numPr>
      <w:autoSpaceDE w:val="0"/>
      <w:autoSpaceDN w:val="0"/>
      <w:ind w:left="726" w:hanging="363"/>
      <w:jc w:val="both"/>
    </w:pPr>
    <w:rPr>
      <w:rFonts w:ascii="宋体" w:hAnsi="Times New Roman" w:eastAsia="宋体" w:cs="Times New Roman"/>
      <w:sz w:val="18"/>
      <w:szCs w:val="18"/>
      <w:lang w:val="en-US" w:eastAsia="zh-CN" w:bidi="ar-SA"/>
    </w:rPr>
  </w:style>
  <w:style w:type="paragraph" w:customStyle="1" w:styleId="27">
    <w:name w:val="附录图标号"/>
    <w:basedOn w:val="1"/>
    <w:qFormat/>
    <w:uiPriority w:val="0"/>
    <w:pPr>
      <w:keepNext/>
      <w:pageBreakBefore/>
      <w:widowControl/>
      <w:numPr>
        <w:ilvl w:val="0"/>
        <w:numId w:val="3"/>
      </w:numPr>
      <w:spacing w:line="14" w:lineRule="exact"/>
      <w:ind w:left="0" w:firstLine="363"/>
      <w:jc w:val="center"/>
      <w:outlineLvl w:val="0"/>
    </w:pPr>
    <w:rPr>
      <w:color w:val="FFFFFF"/>
    </w:rPr>
  </w:style>
  <w:style w:type="paragraph" w:customStyle="1" w:styleId="28">
    <w:name w:val="附录图标题"/>
    <w:basedOn w:val="1"/>
    <w:next w:val="16"/>
    <w:qFormat/>
    <w:uiPriority w:val="0"/>
    <w:pPr>
      <w:numPr>
        <w:ilvl w:val="1"/>
        <w:numId w:val="3"/>
      </w:numPr>
      <w:tabs>
        <w:tab w:val="left" w:pos="363"/>
      </w:tabs>
      <w:spacing w:beforeLines="50" w:afterLines="50"/>
      <w:ind w:left="0" w:firstLine="0"/>
      <w:jc w:val="center"/>
    </w:pPr>
    <w:rPr>
      <w:rFonts w:ascii="黑体" w:eastAsia="黑体"/>
      <w:szCs w:val="21"/>
    </w:rPr>
  </w:style>
  <w:style w:type="paragraph" w:customStyle="1" w:styleId="29">
    <w:name w:val="注×：（正文）"/>
    <w:qFormat/>
    <w:uiPriority w:val="0"/>
    <w:pPr>
      <w:numPr>
        <w:ilvl w:val="0"/>
        <w:numId w:val="4"/>
      </w:numPr>
      <w:jc w:val="both"/>
    </w:pPr>
    <w:rPr>
      <w:rFonts w:ascii="宋体" w:hAnsi="Times New Roman" w:eastAsia="宋体" w:cs="Times New Roman"/>
      <w:sz w:val="18"/>
      <w:szCs w:val="18"/>
      <w:lang w:val="en-US" w:eastAsia="zh-CN" w:bidi="ar-SA"/>
    </w:rPr>
  </w:style>
  <w:style w:type="paragraph" w:customStyle="1" w:styleId="30">
    <w:name w:val="图表脚注说明"/>
    <w:basedOn w:val="1"/>
    <w:qFormat/>
    <w:uiPriority w:val="0"/>
    <w:pPr>
      <w:numPr>
        <w:ilvl w:val="0"/>
        <w:numId w:val="5"/>
      </w:numPr>
    </w:pPr>
    <w:rPr>
      <w:rFonts w:ascii="宋体"/>
      <w:sz w:val="18"/>
      <w:szCs w:val="18"/>
    </w:rPr>
  </w:style>
  <w:style w:type="character" w:customStyle="1" w:styleId="31">
    <w:name w:val="段 Char"/>
    <w:basedOn w:val="11"/>
    <w:link w:val="16"/>
    <w:qFormat/>
    <w:uiPriority w:val="0"/>
    <w:rPr>
      <w:rFonts w:ascii="宋体"/>
      <w:sz w:val="21"/>
      <w:lang w:val="en-US" w:eastAsia="zh-CN" w:bidi="ar-SA"/>
    </w:rPr>
  </w:style>
  <w:style w:type="character" w:customStyle="1" w:styleId="32">
    <w:name w:val="页眉 字符"/>
    <w:basedOn w:val="11"/>
    <w:link w:val="7"/>
    <w:qFormat/>
    <w:uiPriority w:val="0"/>
    <w:rPr>
      <w:kern w:val="2"/>
      <w:sz w:val="18"/>
      <w:szCs w:val="18"/>
    </w:rPr>
  </w:style>
  <w:style w:type="character" w:customStyle="1" w:styleId="33">
    <w:name w:val="页脚 字符"/>
    <w:basedOn w:val="11"/>
    <w:link w:val="6"/>
    <w:qFormat/>
    <w:uiPriority w:val="99"/>
    <w:rPr>
      <w:kern w:val="2"/>
      <w:sz w:val="18"/>
      <w:szCs w:val="18"/>
    </w:rPr>
  </w:style>
  <w:style w:type="paragraph" w:customStyle="1" w:styleId="34">
    <w:name w:val="附录表标题"/>
    <w:basedOn w:val="1"/>
    <w:next w:val="16"/>
    <w:qFormat/>
    <w:uiPriority w:val="0"/>
    <w:pPr>
      <w:numPr>
        <w:ilvl w:val="1"/>
        <w:numId w:val="6"/>
      </w:numPr>
      <w:tabs>
        <w:tab w:val="left" w:pos="180"/>
      </w:tabs>
      <w:spacing w:beforeLines="50" w:afterLines="50"/>
      <w:ind w:left="0" w:firstLine="0"/>
      <w:jc w:val="center"/>
    </w:pPr>
    <w:rPr>
      <w:rFonts w:ascii="黑体" w:eastAsia="黑体"/>
      <w:szCs w:val="21"/>
    </w:rPr>
  </w:style>
  <w:style w:type="paragraph" w:styleId="35">
    <w:name w:val="List Paragraph"/>
    <w:basedOn w:val="1"/>
    <w:qFormat/>
    <w:uiPriority w:val="34"/>
    <w:pPr>
      <w:ind w:firstLine="420"/>
    </w:pPr>
  </w:style>
  <w:style w:type="paragraph" w:customStyle="1" w:styleId="36">
    <w:name w:val="其他标准称谓"/>
    <w:qFormat/>
    <w:uiPriority w:val="0"/>
    <w:pPr>
      <w:spacing w:line="0" w:lineRule="atLeast"/>
      <w:jc w:val="distribute"/>
    </w:pPr>
    <w:rPr>
      <w:rFonts w:ascii="黑体" w:hAnsi="宋体" w:eastAsia="黑体" w:cs="Times New Roman"/>
      <w:sz w:val="52"/>
      <w:lang w:val="en-US" w:eastAsia="zh-CN" w:bidi="ar-SA"/>
    </w:rPr>
  </w:style>
  <w:style w:type="paragraph" w:customStyle="1" w:styleId="37">
    <w:name w:val="封面标准号1"/>
    <w:qFormat/>
    <w:uiPriority w:val="0"/>
    <w:pPr>
      <w:widowControl w:val="0"/>
      <w:kinsoku w:val="0"/>
      <w:overflowPunct w:val="0"/>
      <w:autoSpaceDE w:val="0"/>
      <w:autoSpaceDN w:val="0"/>
      <w:spacing w:before="308"/>
      <w:jc w:val="right"/>
      <w:textAlignment w:val="center"/>
    </w:pPr>
    <w:rPr>
      <w:rFonts w:ascii="Times New Roman" w:hAnsi="Times New Roman" w:eastAsia="宋体" w:cs="Times New Roman"/>
      <w:sz w:val="28"/>
      <w:lang w:val="en-US" w:eastAsia="zh-CN" w:bidi="ar-SA"/>
    </w:rPr>
  </w:style>
  <w:style w:type="character" w:customStyle="1" w:styleId="38">
    <w:name w:val="发布"/>
    <w:qFormat/>
    <w:uiPriority w:val="0"/>
    <w:rPr>
      <w:rFonts w:ascii="黑体" w:eastAsia="黑体"/>
      <w:spacing w:val="22"/>
      <w:w w:val="100"/>
      <w:position w:val="3"/>
      <w:sz w:val="28"/>
    </w:rPr>
  </w:style>
  <w:style w:type="paragraph" w:customStyle="1" w:styleId="39">
    <w:name w:val="其他发布部门"/>
    <w:basedOn w:val="1"/>
    <w:qFormat/>
    <w:uiPriority w:val="0"/>
    <w:pPr>
      <w:widowControl/>
      <w:spacing w:line="0" w:lineRule="atLeast"/>
      <w:jc w:val="center"/>
    </w:pPr>
    <w:rPr>
      <w:rFonts w:ascii="黑体" w:eastAsia="黑体"/>
      <w:spacing w:val="20"/>
      <w:w w:val="135"/>
      <w:kern w:val="0"/>
      <w:sz w:val="36"/>
      <w:szCs w:val="20"/>
    </w:rPr>
  </w:style>
  <w:style w:type="paragraph" w:customStyle="1" w:styleId="40">
    <w:name w:val="标准文件_段"/>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character" w:customStyle="1" w:styleId="41">
    <w:name w:val="批注框文本 字符"/>
    <w:basedOn w:val="11"/>
    <w:link w:val="5"/>
    <w:qFormat/>
    <w:uiPriority w:val="0"/>
    <w:rPr>
      <w:rFonts w:ascii="Times New Roman" w:hAnsi="Times New Roman"/>
      <w:kern w:val="2"/>
      <w:sz w:val="18"/>
      <w:szCs w:val="18"/>
    </w:rPr>
  </w:style>
  <w:style w:type="paragraph" w:customStyle="1" w:styleId="42">
    <w:name w:val="标准文件_章标题"/>
    <w:next w:val="40"/>
    <w:qFormat/>
    <w:uiPriority w:val="0"/>
    <w:pPr>
      <w:numPr>
        <w:ilvl w:val="1"/>
        <w:numId w:val="7"/>
      </w:numPr>
      <w:spacing w:before="100" w:beforeLines="100" w:after="100" w:afterLines="100"/>
      <w:jc w:val="both"/>
      <w:outlineLvl w:val="0"/>
    </w:pPr>
    <w:rPr>
      <w:rFonts w:ascii="黑体" w:hAnsi="Times New Roman" w:eastAsia="黑体" w:cs="Times New Roman"/>
      <w:sz w:val="21"/>
      <w:lang w:val="en-US" w:eastAsia="zh-CN" w:bidi="ar-SA"/>
    </w:rPr>
  </w:style>
  <w:style w:type="paragraph" w:customStyle="1" w:styleId="43">
    <w:name w:val="标准文件_术语条一"/>
    <w:basedOn w:val="44"/>
    <w:next w:val="40"/>
    <w:qFormat/>
    <w:uiPriority w:val="0"/>
  </w:style>
  <w:style w:type="paragraph" w:customStyle="1" w:styleId="44">
    <w:name w:val="标准文件_一级无标题"/>
    <w:basedOn w:val="45"/>
    <w:qFormat/>
    <w:uiPriority w:val="0"/>
    <w:pPr>
      <w:spacing w:before="0" w:after="0"/>
      <w:outlineLvl w:val="9"/>
    </w:pPr>
    <w:rPr>
      <w:rFonts w:ascii="宋体" w:eastAsia="宋体"/>
    </w:rPr>
  </w:style>
  <w:style w:type="paragraph" w:customStyle="1" w:styleId="45">
    <w:name w:val="标准文件_一级条标题"/>
    <w:basedOn w:val="42"/>
    <w:next w:val="40"/>
    <w:qFormat/>
    <w:uiPriority w:val="0"/>
    <w:pPr>
      <w:numPr>
        <w:ilvl w:val="2"/>
        <w:numId w:val="0"/>
      </w:numPr>
      <w:spacing w:before="50" w:beforeLines="50" w:after="50" w:afterLines="50"/>
      <w:outlineLvl w:val="1"/>
    </w:pPr>
  </w:style>
  <w:style w:type="paragraph" w:customStyle="1" w:styleId="46">
    <w:name w:val="标准文件_正文表标题"/>
    <w:next w:val="40"/>
    <w:qFormat/>
    <w:uiPriority w:val="0"/>
    <w:pPr>
      <w:numPr>
        <w:ilvl w:val="0"/>
        <w:numId w:val="8"/>
      </w:numPr>
      <w:tabs>
        <w:tab w:val="left" w:pos="0"/>
      </w:tabs>
      <w:spacing w:before="50" w:beforeLines="50" w:after="50" w:afterLines="50"/>
      <w:jc w:val="center"/>
    </w:pPr>
    <w:rPr>
      <w:rFonts w:ascii="黑体" w:hAnsi="Times New Roman" w:eastAsia="黑体" w:cs="Times New Roman"/>
      <w:sz w:val="21"/>
      <w:lang w:val="en-US" w:eastAsia="zh-CN" w:bidi="ar-SA"/>
    </w:rPr>
  </w:style>
  <w:style w:type="paragraph" w:customStyle="1" w:styleId="47">
    <w:name w:val="标准文件_正文图标题"/>
    <w:next w:val="40"/>
    <w:qFormat/>
    <w:uiPriority w:val="0"/>
    <w:pPr>
      <w:numPr>
        <w:ilvl w:val="0"/>
        <w:numId w:val="9"/>
      </w:numPr>
      <w:spacing w:before="50" w:beforeLines="50" w:after="50" w:afterLines="50"/>
      <w:jc w:val="center"/>
    </w:pPr>
    <w:rPr>
      <w:rFonts w:ascii="黑体" w:hAnsi="Times New Roman" w:eastAsia="黑体" w:cs="Times New Roman"/>
      <w:sz w:val="21"/>
      <w:lang w:val="en-US" w:eastAsia="zh-CN" w:bidi="ar-SA"/>
    </w:rPr>
  </w:style>
  <w:style w:type="paragraph" w:customStyle="1" w:styleId="48">
    <w:name w:val="标准文件_附录图标题"/>
    <w:next w:val="40"/>
    <w:qFormat/>
    <w:uiPriority w:val="0"/>
    <w:pPr>
      <w:numPr>
        <w:ilvl w:val="1"/>
        <w:numId w:val="10"/>
      </w:numPr>
      <w:adjustRightInd w:val="0"/>
      <w:snapToGrid w:val="0"/>
      <w:spacing w:before="50" w:beforeLines="50" w:after="50" w:afterLines="50"/>
      <w:jc w:val="center"/>
    </w:pPr>
    <w:rPr>
      <w:rFonts w:ascii="黑体" w:hAnsi="Times New Roman" w:eastAsia="黑体" w:cs="Times New Roman"/>
      <w:sz w:val="21"/>
      <w:lang w:val="en-US" w:eastAsia="zh-CN" w:bidi="ar-SA"/>
    </w:rPr>
  </w:style>
  <w:style w:type="paragraph" w:customStyle="1" w:styleId="49">
    <w:name w:val="标准文件_页眉奇数页"/>
    <w:next w:val="1"/>
    <w:qFormat/>
    <w:uiPriority w:val="0"/>
    <w:pPr>
      <w:tabs>
        <w:tab w:val="center" w:pos="4154"/>
        <w:tab w:val="right" w:pos="8306"/>
      </w:tabs>
      <w:spacing w:after="120"/>
      <w:jc w:val="right"/>
    </w:pPr>
    <w:rPr>
      <w:rFonts w:ascii="黑体" w:hAnsi="宋体" w:eastAsia="黑体" w:cs="Times New Roman"/>
      <w:sz w:val="21"/>
      <w:lang w:val="en-US" w:eastAsia="zh-CN" w:bidi="ar-SA"/>
    </w:rPr>
  </w:style>
  <w:style w:type="paragraph" w:customStyle="1" w:styleId="50">
    <w:name w:val="标准文件_页眉偶数页"/>
    <w:basedOn w:val="49"/>
    <w:next w:val="1"/>
    <w:qFormat/>
    <w:uiPriority w:val="0"/>
    <w:pPr>
      <w:jc w:val="left"/>
    </w:pPr>
  </w:style>
  <w:style w:type="paragraph" w:customStyle="1" w:styleId="51">
    <w:name w:val="标准文件_页脚奇数页"/>
    <w:qFormat/>
    <w:uiPriority w:val="0"/>
    <w:pPr>
      <w:ind w:right="227"/>
      <w:jc w:val="right"/>
    </w:pPr>
    <w:rPr>
      <w:rFonts w:ascii="宋体" w:hAnsi="Times New Roman" w:eastAsia="宋体" w:cs="Times New Roman"/>
      <w:sz w:val="18"/>
      <w:lang w:val="en-US" w:eastAsia="zh-CN" w:bidi="ar-SA"/>
    </w:rPr>
  </w:style>
  <w:style w:type="paragraph" w:customStyle="1" w:styleId="52">
    <w:name w:val="标准文件_页脚偶数页"/>
    <w:qFormat/>
    <w:uiPriority w:val="0"/>
    <w:pPr>
      <w:ind w:left="198"/>
    </w:pPr>
    <w:rPr>
      <w:rFonts w:ascii="宋体" w:hAnsi="Times New Roman" w:eastAsia="宋体" w:cs="Times New Roman"/>
      <w:sz w:val="18"/>
      <w:lang w:val="en-US" w:eastAsia="zh-CN" w:bidi="ar-SA"/>
    </w:rPr>
  </w:style>
  <w:style w:type="paragraph" w:customStyle="1" w:styleId="53">
    <w:name w:val="标准文件_二级无标题"/>
    <w:basedOn w:val="54"/>
    <w:qFormat/>
    <w:uiPriority w:val="0"/>
    <w:pPr>
      <w:spacing w:before="0" w:after="0"/>
      <w:outlineLvl w:val="9"/>
    </w:pPr>
    <w:rPr>
      <w:rFonts w:ascii="宋体" w:eastAsia="宋体"/>
    </w:rPr>
  </w:style>
  <w:style w:type="paragraph" w:customStyle="1" w:styleId="54">
    <w:name w:val="标准文件_二级条标题"/>
    <w:next w:val="40"/>
    <w:qFormat/>
    <w:uiPriority w:val="0"/>
    <w:pPr>
      <w:widowControl w:val="0"/>
      <w:numPr>
        <w:ilvl w:val="3"/>
        <w:numId w:val="7"/>
      </w:numPr>
      <w:spacing w:before="50" w:beforeLines="50" w:after="50" w:afterLines="50"/>
      <w:jc w:val="both"/>
      <w:outlineLvl w:val="2"/>
    </w:pPr>
    <w:rPr>
      <w:rFonts w:ascii="黑体" w:hAnsi="Times New Roman" w:eastAsia="黑体" w:cs="Times New Roman"/>
      <w:sz w:val="21"/>
      <w:lang w:val="en-US" w:eastAsia="zh-CN" w:bidi="ar-SA"/>
    </w:rPr>
  </w:style>
  <w:style w:type="paragraph" w:customStyle="1" w:styleId="55">
    <w:name w:val="标准文件_三级条标题"/>
    <w:basedOn w:val="54"/>
    <w:next w:val="40"/>
    <w:qFormat/>
    <w:uiPriority w:val="0"/>
    <w:pPr>
      <w:widowControl/>
      <w:numPr>
        <w:ilvl w:val="4"/>
      </w:numPr>
      <w:outlineLvl w:val="3"/>
    </w:pPr>
  </w:style>
  <w:style w:type="table" w:customStyle="1" w:styleId="56">
    <w:name w:val="网格型1"/>
    <w:basedOn w:val="9"/>
    <w:unhideWhenUsed/>
    <w:qFormat/>
    <w:uiPriority w:val="99"/>
    <w:pPr>
      <w:widowControl w:val="0"/>
      <w:jc w:val="both"/>
    </w:pPr>
    <w:rPr>
      <w:rFonts w:eastAsia="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57">
    <w:name w:val="标准-正文"/>
    <w:basedOn w:val="1"/>
    <w:qFormat/>
    <w:uiPriority w:val="0"/>
    <w:pPr>
      <w:spacing w:line="560" w:lineRule="exact"/>
      <w:ind w:firstLine="640"/>
    </w:pPr>
    <w:rPr>
      <w:rFonts w:hint="eastAsia"/>
      <w:szCs w:val="28"/>
    </w:rPr>
  </w:style>
  <w:style w:type="paragraph" w:customStyle="1" w:styleId="58">
    <w:name w:val="标准文件_一级项"/>
    <w:qFormat/>
    <w:uiPriority w:val="0"/>
    <w:pPr>
      <w:numPr>
        <w:ilvl w:val="0"/>
        <w:numId w:val="11"/>
      </w:numPr>
    </w:pPr>
    <w:rPr>
      <w:rFonts w:ascii="宋体" w:hAnsi="Times New Roman" w:eastAsia="宋体" w:cs="Times New Roman"/>
      <w:sz w:val="21"/>
      <w:lang w:val="en-US" w:eastAsia="zh-CN" w:bidi="ar-SA"/>
    </w:rPr>
  </w:style>
  <w:style w:type="paragraph" w:customStyle="1" w:styleId="59">
    <w:name w:val="标准文件_正文标准名称"/>
    <w:qFormat/>
    <w:uiPriority w:val="0"/>
    <w:pPr>
      <w:spacing w:before="560" w:after="640" w:line="400" w:lineRule="exact"/>
      <w:jc w:val="center"/>
    </w:pPr>
    <w:rPr>
      <w:rFonts w:ascii="黑体" w:hAnsi="黑体" w:eastAsia="黑体" w:cs="Times New Roman"/>
      <w:kern w:val="2"/>
      <w:sz w:val="32"/>
      <w:szCs w:val="32"/>
      <w:lang w:val="en-US" w:eastAsia="zh-CN" w:bidi="ar-SA"/>
    </w:rPr>
  </w:style>
  <w:style w:type="character" w:customStyle="1" w:styleId="60">
    <w:name w:val="font31"/>
    <w:basedOn w:val="11"/>
    <w:qFormat/>
    <w:uiPriority w:val="0"/>
    <w:rPr>
      <w:rFonts w:hint="default" w:ascii="方正仿宋_GB2312" w:hAnsi="方正仿宋_GB2312" w:eastAsia="方正仿宋_GB2312" w:cs="方正仿宋_GB2312"/>
      <w:color w:val="000000"/>
      <w:sz w:val="21"/>
      <w:szCs w:val="21"/>
      <w:u w:val="none"/>
    </w:rPr>
  </w:style>
  <w:style w:type="character" w:customStyle="1" w:styleId="61">
    <w:name w:val="font21"/>
    <w:basedOn w:val="11"/>
    <w:qFormat/>
    <w:uiPriority w:val="0"/>
    <w:rPr>
      <w:rFonts w:hint="default" w:ascii="Times New Roman" w:hAnsi="Times New Roman" w:cs="Times New Roman"/>
      <w:color w:val="000000"/>
      <w:sz w:val="21"/>
      <w:szCs w:val="21"/>
      <w:u w:val="none"/>
    </w:rPr>
  </w:style>
  <w:style w:type="paragraph" w:customStyle="1" w:styleId="62">
    <w:name w:val="标准文件_二级项2"/>
    <w:basedOn w:val="40"/>
    <w:qFormat/>
    <w:uiPriority w:val="0"/>
    <w:pPr>
      <w:numPr>
        <w:ilvl w:val="1"/>
        <w:numId w:val="11"/>
      </w:numPr>
      <w:ind w:firstLine="0" w:firstLineChars="0"/>
    </w:pPr>
  </w:style>
  <w:style w:type="paragraph" w:customStyle="1" w:styleId="63">
    <w:name w:val="标准文件_附录标识"/>
    <w:next w:val="40"/>
    <w:qFormat/>
    <w:uiPriority w:val="0"/>
    <w:pPr>
      <w:numPr>
        <w:ilvl w:val="0"/>
        <w:numId w:val="12"/>
      </w:numPr>
      <w:shd w:val="clear" w:color="FFFFFF" w:fill="FFFFFF"/>
      <w:tabs>
        <w:tab w:val="left" w:pos="6406"/>
      </w:tabs>
      <w:spacing w:before="560" w:after="50" w:afterLines="50"/>
      <w:jc w:val="center"/>
      <w:outlineLvl w:val="0"/>
    </w:pPr>
    <w:rPr>
      <w:rFonts w:ascii="黑体" w:hAnsi="Times New Roman" w:eastAsia="黑体" w:cs="Times New Roman"/>
      <w:sz w:val="21"/>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1.jpeg"/><Relationship Id="rId8" Type="http://schemas.openxmlformats.org/officeDocument/2006/relationships/theme" Target="theme/theme1.xml"/><Relationship Id="rId7" Type="http://schemas.openxmlformats.org/officeDocument/2006/relationships/footer" Target="footer2.xml"/><Relationship Id="rId6" Type="http://schemas.openxmlformats.org/officeDocument/2006/relationships/header" Target="header1.xml"/><Relationship Id="rId5" Type="http://schemas.openxmlformats.org/officeDocument/2006/relationships/footer" Target="footer1.xml"/><Relationship Id="rId4" Type="http://schemas.openxmlformats.org/officeDocument/2006/relationships/endnotes" Target="endnotes.xml"/><Relationship Id="rId3" Type="http://schemas.openxmlformats.org/officeDocument/2006/relationships/footnotes" Target="footnotes.xml"/><Relationship Id="rId26" Type="http://schemas.openxmlformats.org/officeDocument/2006/relationships/fontTable" Target="fontTable.xml"/><Relationship Id="rId25" Type="http://schemas.openxmlformats.org/officeDocument/2006/relationships/customXml" Target="../customXml/item2.xml"/><Relationship Id="rId24" Type="http://schemas.openxmlformats.org/officeDocument/2006/relationships/numbering" Target="numbering.xml"/><Relationship Id="rId23" Type="http://schemas.openxmlformats.org/officeDocument/2006/relationships/customXml" Target="../customXml/item1.xml"/><Relationship Id="rId22" Type="http://schemas.openxmlformats.org/officeDocument/2006/relationships/image" Target="media/image14.png"/><Relationship Id="rId21" Type="http://schemas.openxmlformats.org/officeDocument/2006/relationships/image" Target="media/image13.png"/><Relationship Id="rId20" Type="http://schemas.openxmlformats.org/officeDocument/2006/relationships/image" Target="media/image12.png"/><Relationship Id="rId2" Type="http://schemas.openxmlformats.org/officeDocument/2006/relationships/settings" Target="settings.xml"/><Relationship Id="rId19" Type="http://schemas.openxmlformats.org/officeDocument/2006/relationships/image" Target="media/image11.png"/><Relationship Id="rId18" Type="http://schemas.openxmlformats.org/officeDocument/2006/relationships/image" Target="media/image10.png"/><Relationship Id="rId17" Type="http://schemas.openxmlformats.org/officeDocument/2006/relationships/image" Target="media/image9.png"/><Relationship Id="rId16" Type="http://schemas.openxmlformats.org/officeDocument/2006/relationships/image" Target="media/image8.png"/><Relationship Id="rId15" Type="http://schemas.openxmlformats.org/officeDocument/2006/relationships/image" Target="media/image7.png"/><Relationship Id="rId14" Type="http://schemas.openxmlformats.org/officeDocument/2006/relationships/image" Target="media/image6.png"/><Relationship Id="rId13" Type="http://schemas.openxmlformats.org/officeDocument/2006/relationships/image" Target="media/image5.png"/><Relationship Id="rId12" Type="http://schemas.openxmlformats.org/officeDocument/2006/relationships/image" Target="media/image4.png"/><Relationship Id="rId11" Type="http://schemas.openxmlformats.org/officeDocument/2006/relationships/image" Target="media/image3.png"/><Relationship Id="rId10" Type="http://schemas.openxmlformats.org/officeDocument/2006/relationships/image" Target="media/image2.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tyleName="APA" SelectedStyle="\APASixthEditionOfficeOnline.xsl"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B8FB2D56-D160-491E-952E-C465A5F7525E}">
  <ds:schemaRefs/>
</ds:datastoreItem>
</file>

<file path=docProps/app.xml><?xml version="1.0" encoding="utf-8"?>
<Properties xmlns="http://schemas.openxmlformats.org/officeDocument/2006/extended-properties" xmlns:vt="http://schemas.openxmlformats.org/officeDocument/2006/docPropsVTypes">
  <Template>Normal</Template>
  <Company>WWW.YlmF.CoM</Company>
  <Pages>37</Pages>
  <Words>6561</Words>
  <Characters>6857</Characters>
  <Lines>136</Lines>
  <Paragraphs>38</Paragraphs>
  <TotalTime>1</TotalTime>
  <ScaleCrop>false</ScaleCrop>
  <LinksUpToDate>false</LinksUpToDate>
  <CharactersWithSpaces>6945</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2025-03-27T18:01:00Z</dcterms:created>
  <dc:creator>USER</dc:creator>
  <cp:lastModifiedBy>zz</cp:lastModifiedBy>
  <cp:lastPrinted>2019-07-11T03:21:00Z</cp:lastPrinted>
  <dcterms:modified xsi:type="dcterms:W3CDTF">2026-01-28T00:28:19Z</dcterms:modified>
  <dc:title>广西地方标准《脱氢枞酸》（征求意见稿）</dc:title>
  <cp:revision>62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2052-12.1.0.24657</vt:lpwstr>
  </property>
  <property fmtid="{D5CDD505-2E9C-101B-9397-08002B2CF9AE}" pid="3" name="ICV">
    <vt:lpwstr>5480971EFF764CEEAF9592CB10651168_13</vt:lpwstr>
  </property>
  <property fmtid="{D5CDD505-2E9C-101B-9397-08002B2CF9AE}" pid="4" name="KSOTemplateDocerSaveRecord">
    <vt:lpwstr>eyJoZGlkIjoiZjI2OWZkNmFlNWU3OWQyNDEwZDZiZGI3NzJiZjgyNzciLCJ1c2VySWQiOiI0OTE5MTUxOTIifQ==</vt:lpwstr>
  </property>
</Properties>
</file>